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53" w:rsidRPr="00324D9E" w:rsidRDefault="00CF1C9C" w:rsidP="00EB3D53">
      <w:pPr>
        <w:pStyle w:val="NormalIndent"/>
        <w:rPr>
          <w:rFonts w:cs="Arial"/>
          <w:b/>
          <w:u w:val="single"/>
        </w:rPr>
      </w:pPr>
      <w:r w:rsidRPr="00324D9E">
        <w:rPr>
          <w:rFonts w:cs="Arial"/>
          <w:b/>
          <w:u w:val="single"/>
        </w:rPr>
        <w:t xml:space="preserve">Agenda and </w:t>
      </w:r>
      <w:r w:rsidR="0026086C" w:rsidRPr="00324D9E">
        <w:rPr>
          <w:rFonts w:cs="Arial"/>
          <w:b/>
          <w:u w:val="single"/>
        </w:rPr>
        <w:t>discussion</w:t>
      </w:r>
      <w:r w:rsidR="00EB3D53" w:rsidRPr="00324D9E">
        <w:rPr>
          <w:rFonts w:cs="Arial"/>
          <w:b/>
          <w:u w:val="single"/>
        </w:rPr>
        <w:t xml:space="preserve"> points for the meeting with Mike Morris</w:t>
      </w:r>
      <w:r w:rsidR="00124759" w:rsidRPr="00324D9E">
        <w:rPr>
          <w:rFonts w:cs="Arial"/>
          <w:b/>
          <w:u w:val="single"/>
        </w:rPr>
        <w:t xml:space="preserve"> Apr 23 2019</w:t>
      </w:r>
      <w:r w:rsidR="00EB3D53" w:rsidRPr="00324D9E">
        <w:rPr>
          <w:rFonts w:cs="Arial"/>
          <w:b/>
          <w:u w:val="single"/>
        </w:rPr>
        <w:t>:</w:t>
      </w:r>
    </w:p>
    <w:p w:rsidR="00CF1C9C" w:rsidRPr="00324D9E" w:rsidRDefault="00CF1C9C" w:rsidP="00EB3D53">
      <w:pPr>
        <w:pStyle w:val="NormalIndent"/>
        <w:rPr>
          <w:rFonts w:cs="Arial"/>
          <w:u w:val="single"/>
        </w:rPr>
      </w:pPr>
      <w:r w:rsidRPr="00324D9E">
        <w:rPr>
          <w:rFonts w:cs="Arial"/>
          <w:u w:val="single"/>
        </w:rPr>
        <w:t>Crawford (introductions)</w:t>
      </w:r>
    </w:p>
    <w:p w:rsidR="00EB3D53" w:rsidRPr="00324D9E" w:rsidRDefault="00EB3D53" w:rsidP="00EB3D53">
      <w:pPr>
        <w:pStyle w:val="NormalIndent"/>
        <w:numPr>
          <w:ilvl w:val="0"/>
          <w:numId w:val="1"/>
        </w:numPr>
        <w:rPr>
          <w:rFonts w:cs="Arial"/>
        </w:rPr>
      </w:pPr>
      <w:r w:rsidRPr="00324D9E">
        <w:rPr>
          <w:rFonts w:cs="Arial"/>
        </w:rPr>
        <w:t>Fact exchange/</w:t>
      </w:r>
      <w:r w:rsidR="00124759" w:rsidRPr="00324D9E">
        <w:rPr>
          <w:rFonts w:cs="Arial"/>
        </w:rPr>
        <w:t>r</w:t>
      </w:r>
      <w:r w:rsidRPr="00324D9E">
        <w:rPr>
          <w:rFonts w:cs="Arial"/>
        </w:rPr>
        <w:t xml:space="preserve">econnaissance – what </w:t>
      </w:r>
      <w:r w:rsidR="00124759" w:rsidRPr="00324D9E">
        <w:rPr>
          <w:rFonts w:cs="Arial"/>
        </w:rPr>
        <w:t>is really behind this idea of a ban?</w:t>
      </w:r>
    </w:p>
    <w:p w:rsidR="00EB3D53" w:rsidRPr="00324D9E" w:rsidRDefault="00EB3D53" w:rsidP="00EB3D53">
      <w:pPr>
        <w:pStyle w:val="NormalIndent"/>
        <w:numPr>
          <w:ilvl w:val="0"/>
          <w:numId w:val="1"/>
        </w:numPr>
        <w:rPr>
          <w:rFonts w:cs="Arial"/>
        </w:rPr>
      </w:pPr>
      <w:r w:rsidRPr="00324D9E">
        <w:rPr>
          <w:rFonts w:cs="Arial"/>
        </w:rPr>
        <w:t>Find o</w:t>
      </w:r>
      <w:r w:rsidR="00CF1C9C" w:rsidRPr="00324D9E">
        <w:rPr>
          <w:rFonts w:cs="Arial"/>
        </w:rPr>
        <w:t>ut at what stage the bill is at</w:t>
      </w:r>
    </w:p>
    <w:p w:rsidR="00CF1C9C" w:rsidRPr="00324D9E" w:rsidRDefault="00CF1C9C" w:rsidP="00CF1C9C">
      <w:pPr>
        <w:pStyle w:val="NormalIndent"/>
        <w:numPr>
          <w:ilvl w:val="2"/>
          <w:numId w:val="1"/>
        </w:numPr>
        <w:rPr>
          <w:rFonts w:cs="Arial"/>
        </w:rPr>
      </w:pPr>
      <w:r w:rsidRPr="00324D9E">
        <w:rPr>
          <w:rFonts w:cs="Arial"/>
        </w:rPr>
        <w:t>Within the legislature</w:t>
      </w:r>
    </w:p>
    <w:p w:rsidR="00CF1C9C" w:rsidRPr="00324D9E" w:rsidRDefault="00CF1C9C" w:rsidP="00CF1C9C">
      <w:pPr>
        <w:pStyle w:val="NormalIndent"/>
        <w:numPr>
          <w:ilvl w:val="2"/>
          <w:numId w:val="1"/>
        </w:numPr>
        <w:rPr>
          <w:rFonts w:cs="Arial"/>
        </w:rPr>
      </w:pPr>
      <w:r w:rsidRPr="00324D9E">
        <w:rPr>
          <w:rFonts w:cs="Arial"/>
        </w:rPr>
        <w:t>Within Liberal Caucus</w:t>
      </w:r>
    </w:p>
    <w:p w:rsidR="00CF1C9C" w:rsidRPr="00324D9E" w:rsidRDefault="00CF1C9C" w:rsidP="00CF1C9C">
      <w:pPr>
        <w:pStyle w:val="NormalIndent"/>
        <w:numPr>
          <w:ilvl w:val="2"/>
          <w:numId w:val="1"/>
        </w:numPr>
        <w:rPr>
          <w:rFonts w:cs="Arial"/>
        </w:rPr>
      </w:pPr>
      <w:r w:rsidRPr="00324D9E">
        <w:rPr>
          <w:rFonts w:cs="Arial"/>
        </w:rPr>
        <w:t>Within Riding Association</w:t>
      </w:r>
    </w:p>
    <w:p w:rsidR="00EB3D53" w:rsidRPr="00324D9E" w:rsidRDefault="00EB3D53" w:rsidP="00EB3D53">
      <w:pPr>
        <w:pStyle w:val="NormalIndent"/>
        <w:numPr>
          <w:ilvl w:val="0"/>
          <w:numId w:val="1"/>
        </w:numPr>
        <w:rPr>
          <w:rFonts w:cs="Arial"/>
          <w:i/>
          <w:u w:val="single"/>
        </w:rPr>
      </w:pPr>
      <w:r w:rsidRPr="00324D9E">
        <w:rPr>
          <w:rFonts w:cs="Arial"/>
        </w:rPr>
        <w:t>Ask if IVMA can provide information (on herbicide use, etc)</w:t>
      </w:r>
      <w:r w:rsidR="00C059D3" w:rsidRPr="00324D9E">
        <w:rPr>
          <w:rFonts w:cs="Arial"/>
        </w:rPr>
        <w:t xml:space="preserve"> – </w:t>
      </w:r>
      <w:r w:rsidR="00C059D3" w:rsidRPr="00324D9E">
        <w:rPr>
          <w:rFonts w:cs="Arial"/>
          <w:i/>
          <w:u w:val="single"/>
        </w:rPr>
        <w:t>segue….</w:t>
      </w:r>
    </w:p>
    <w:p w:rsidR="00CF1C9C" w:rsidRPr="00324D9E" w:rsidRDefault="00CF1C9C" w:rsidP="00CF1C9C">
      <w:pPr>
        <w:pStyle w:val="NormalIndent"/>
        <w:ind w:left="720"/>
        <w:rPr>
          <w:rFonts w:cs="Arial"/>
        </w:rPr>
      </w:pPr>
    </w:p>
    <w:p w:rsidR="00CF1C9C" w:rsidRPr="00324D9E" w:rsidRDefault="00CF1C9C" w:rsidP="00A37A86">
      <w:pPr>
        <w:pStyle w:val="NormalIndent"/>
        <w:rPr>
          <w:rFonts w:cs="Arial"/>
          <w:u w:val="single"/>
        </w:rPr>
      </w:pPr>
      <w:r w:rsidRPr="00324D9E">
        <w:rPr>
          <w:rFonts w:cs="Arial"/>
          <w:u w:val="single"/>
        </w:rPr>
        <w:t>Peter: Information sharing can benefit all</w:t>
      </w:r>
      <w:proofErr w:type="gramStart"/>
      <w:r w:rsidRPr="00324D9E">
        <w:rPr>
          <w:rFonts w:cs="Arial"/>
          <w:u w:val="single"/>
        </w:rPr>
        <w:t>;  IVMA</w:t>
      </w:r>
      <w:proofErr w:type="gramEnd"/>
      <w:r w:rsidRPr="00324D9E">
        <w:rPr>
          <w:rFonts w:cs="Arial"/>
          <w:u w:val="single"/>
        </w:rPr>
        <w:t xml:space="preserve">, </w:t>
      </w:r>
      <w:r w:rsidR="0026086C" w:rsidRPr="00324D9E">
        <w:rPr>
          <w:rFonts w:cs="Arial"/>
          <w:u w:val="single"/>
        </w:rPr>
        <w:t xml:space="preserve">Mike Morris, </w:t>
      </w:r>
      <w:r w:rsidRPr="00324D9E">
        <w:rPr>
          <w:rFonts w:cs="Arial"/>
          <w:u w:val="single"/>
        </w:rPr>
        <w:t>Constituents</w:t>
      </w:r>
      <w:r w:rsidR="0026086C" w:rsidRPr="00324D9E">
        <w:rPr>
          <w:rFonts w:cs="Arial"/>
          <w:u w:val="single"/>
        </w:rPr>
        <w:t xml:space="preserve"> and the Public</w:t>
      </w:r>
      <w:r w:rsidRPr="00324D9E">
        <w:rPr>
          <w:rFonts w:cs="Arial"/>
          <w:u w:val="single"/>
        </w:rPr>
        <w:t>.</w:t>
      </w:r>
    </w:p>
    <w:p w:rsidR="00CF1C9C" w:rsidRPr="00324D9E" w:rsidRDefault="00CF1C9C" w:rsidP="00132791">
      <w:pPr>
        <w:pStyle w:val="NormalIndent"/>
        <w:numPr>
          <w:ilvl w:val="0"/>
          <w:numId w:val="1"/>
        </w:numPr>
        <w:rPr>
          <w:rFonts w:cs="Arial"/>
          <w:i/>
          <w:sz w:val="18"/>
          <w:szCs w:val="18"/>
          <w:u w:val="single"/>
        </w:rPr>
      </w:pPr>
      <w:r w:rsidRPr="00324D9E">
        <w:rPr>
          <w:rFonts w:cs="Arial"/>
        </w:rPr>
        <w:t>Reduction of deciduous vegetation</w:t>
      </w:r>
      <w:r w:rsidR="00124759" w:rsidRPr="00324D9E">
        <w:rPr>
          <w:rFonts w:cs="Arial"/>
        </w:rPr>
        <w:t xml:space="preserve"> and browse</w:t>
      </w:r>
      <w:r w:rsidR="00261A7F" w:rsidRPr="00324D9E">
        <w:rPr>
          <w:rFonts w:cs="Arial"/>
        </w:rPr>
        <w:t>.  Where is the information coming from?</w:t>
      </w:r>
      <w:r w:rsidR="00132791" w:rsidRPr="00324D9E">
        <w:rPr>
          <w:rFonts w:cs="Arial"/>
        </w:rPr>
        <w:t xml:space="preserve">  </w:t>
      </w:r>
      <w:r w:rsidR="00A54EA8" w:rsidRPr="00324D9E">
        <w:rPr>
          <w:rFonts w:cs="Arial"/>
          <w:i/>
          <w:sz w:val="18"/>
          <w:szCs w:val="18"/>
          <w:u w:val="single"/>
        </w:rPr>
        <w:t xml:space="preserve">(see </w:t>
      </w:r>
      <w:r w:rsidR="00C059D3" w:rsidRPr="00324D9E">
        <w:rPr>
          <w:rFonts w:cs="Arial"/>
          <w:i/>
          <w:sz w:val="18"/>
          <w:szCs w:val="18"/>
          <w:u w:val="single"/>
        </w:rPr>
        <w:t>attached data for back up to this discussion)</w:t>
      </w:r>
    </w:p>
    <w:p w:rsidR="00CF1C9C" w:rsidRPr="00324D9E" w:rsidRDefault="00CF1C9C" w:rsidP="00132791">
      <w:pPr>
        <w:pStyle w:val="NormalIndent"/>
        <w:numPr>
          <w:ilvl w:val="2"/>
          <w:numId w:val="1"/>
        </w:numPr>
        <w:rPr>
          <w:rFonts w:cs="Arial"/>
        </w:rPr>
      </w:pPr>
      <w:r w:rsidRPr="00324D9E">
        <w:rPr>
          <w:rFonts w:cs="Arial"/>
        </w:rPr>
        <w:t>Loss of habitat</w:t>
      </w:r>
    </w:p>
    <w:p w:rsidR="00CF1C9C" w:rsidRPr="00324D9E" w:rsidRDefault="00CF1C9C" w:rsidP="00132791">
      <w:pPr>
        <w:pStyle w:val="NormalIndent"/>
        <w:numPr>
          <w:ilvl w:val="2"/>
          <w:numId w:val="1"/>
        </w:numPr>
        <w:rPr>
          <w:rFonts w:cs="Arial"/>
        </w:rPr>
      </w:pPr>
      <w:r w:rsidRPr="00324D9E">
        <w:rPr>
          <w:rFonts w:cs="Arial"/>
        </w:rPr>
        <w:t>Fire</w:t>
      </w:r>
    </w:p>
    <w:p w:rsidR="00CF1C9C" w:rsidRPr="00324D9E" w:rsidRDefault="00CF1C9C" w:rsidP="00132791">
      <w:pPr>
        <w:pStyle w:val="NormalIndent"/>
        <w:numPr>
          <w:ilvl w:val="2"/>
          <w:numId w:val="1"/>
        </w:numPr>
        <w:rPr>
          <w:rFonts w:cs="Arial"/>
        </w:rPr>
      </w:pPr>
      <w:r w:rsidRPr="00324D9E">
        <w:rPr>
          <w:rFonts w:cs="Arial"/>
        </w:rPr>
        <w:t>Biodiversity</w:t>
      </w:r>
    </w:p>
    <w:p w:rsidR="00124759" w:rsidRPr="00324D9E" w:rsidRDefault="0026086C" w:rsidP="00124759">
      <w:pPr>
        <w:pStyle w:val="NormalIndent"/>
        <w:numPr>
          <w:ilvl w:val="0"/>
          <w:numId w:val="1"/>
        </w:numPr>
        <w:rPr>
          <w:rFonts w:cs="Arial"/>
        </w:rPr>
      </w:pPr>
      <w:r w:rsidRPr="00324D9E">
        <w:rPr>
          <w:rFonts w:cs="Arial"/>
        </w:rPr>
        <w:t>FLNRO d</w:t>
      </w:r>
      <w:r w:rsidR="00124759" w:rsidRPr="00324D9E">
        <w:rPr>
          <w:rFonts w:cs="Arial"/>
        </w:rPr>
        <w:t>ata clearly shows that deciduous inventory in stands is on the increase and has always been</w:t>
      </w:r>
      <w:r w:rsidRPr="00324D9E">
        <w:rPr>
          <w:rFonts w:cs="Arial"/>
        </w:rPr>
        <w:t>.</w:t>
      </w:r>
    </w:p>
    <w:p w:rsidR="00A54EA8" w:rsidRPr="00324D9E" w:rsidRDefault="00A54EA8" w:rsidP="00124759">
      <w:pPr>
        <w:pStyle w:val="NormalIndent"/>
        <w:numPr>
          <w:ilvl w:val="0"/>
          <w:numId w:val="1"/>
        </w:numPr>
        <w:rPr>
          <w:rFonts w:cs="Arial"/>
          <w:i/>
          <w:sz w:val="18"/>
          <w:szCs w:val="18"/>
          <w:u w:val="single"/>
        </w:rPr>
      </w:pPr>
      <w:r w:rsidRPr="00324D9E">
        <w:rPr>
          <w:rFonts w:cs="Arial"/>
        </w:rPr>
        <w:t xml:space="preserve">Impacts to Moose populations – information is misrepresented </w:t>
      </w:r>
      <w:r w:rsidRPr="00324D9E">
        <w:rPr>
          <w:rFonts w:cs="Arial"/>
          <w:i/>
          <w:sz w:val="18"/>
          <w:szCs w:val="18"/>
          <w:u w:val="single"/>
        </w:rPr>
        <w:t>(see  comments/data and studies)</w:t>
      </w:r>
    </w:p>
    <w:p w:rsidR="00CF1C9C" w:rsidRPr="00324D9E" w:rsidRDefault="001C0EF7" w:rsidP="00152602">
      <w:pPr>
        <w:pStyle w:val="NormalIndent"/>
        <w:rPr>
          <w:rFonts w:cs="Arial"/>
          <w:u w:val="single"/>
        </w:rPr>
      </w:pPr>
      <w:r w:rsidRPr="00324D9E">
        <w:rPr>
          <w:rFonts w:cs="Arial"/>
          <w:u w:val="single"/>
        </w:rPr>
        <w:t xml:space="preserve">Peter: Clarification of stance on </w:t>
      </w:r>
      <w:proofErr w:type="spellStart"/>
      <w:r w:rsidRPr="00324D9E">
        <w:rPr>
          <w:rFonts w:cs="Arial"/>
          <w:u w:val="single"/>
        </w:rPr>
        <w:t>glyphosate</w:t>
      </w:r>
      <w:proofErr w:type="spellEnd"/>
      <w:r w:rsidR="00A54EA8" w:rsidRPr="00324D9E">
        <w:rPr>
          <w:rFonts w:cs="Arial"/>
          <w:u w:val="single"/>
        </w:rPr>
        <w:t xml:space="preserve"> </w:t>
      </w:r>
      <w:r w:rsidR="00A54EA8" w:rsidRPr="00324D9E">
        <w:rPr>
          <w:rFonts w:cs="Arial"/>
          <w:i/>
          <w:sz w:val="18"/>
          <w:szCs w:val="18"/>
          <w:u w:val="single"/>
        </w:rPr>
        <w:t xml:space="preserve">(see summary on </w:t>
      </w:r>
      <w:proofErr w:type="spellStart"/>
      <w:r w:rsidR="00A54EA8" w:rsidRPr="00324D9E">
        <w:rPr>
          <w:rFonts w:cs="Arial"/>
          <w:i/>
          <w:sz w:val="18"/>
          <w:szCs w:val="18"/>
          <w:u w:val="single"/>
        </w:rPr>
        <w:t>Glyphosate</w:t>
      </w:r>
      <w:proofErr w:type="spellEnd"/>
      <w:r w:rsidR="00A54EA8" w:rsidRPr="00324D9E">
        <w:rPr>
          <w:rFonts w:cs="Arial"/>
          <w:i/>
          <w:sz w:val="18"/>
          <w:szCs w:val="18"/>
          <w:u w:val="single"/>
        </w:rPr>
        <w:t xml:space="preserve"> data attached)</w:t>
      </w:r>
    </w:p>
    <w:p w:rsidR="00261A7F" w:rsidRPr="00324D9E" w:rsidRDefault="00261A7F" w:rsidP="00152602">
      <w:pPr>
        <w:pStyle w:val="NormalIndent"/>
        <w:numPr>
          <w:ilvl w:val="2"/>
          <w:numId w:val="1"/>
        </w:numPr>
        <w:rPr>
          <w:rFonts w:cs="Arial"/>
        </w:rPr>
      </w:pPr>
      <w:r w:rsidRPr="00324D9E">
        <w:rPr>
          <w:rFonts w:cs="Arial"/>
        </w:rPr>
        <w:t>Where</w:t>
      </w:r>
      <w:r w:rsidR="001C0EF7" w:rsidRPr="00324D9E">
        <w:rPr>
          <w:rFonts w:cs="Arial"/>
        </w:rPr>
        <w:t>/When</w:t>
      </w:r>
      <w:r w:rsidRPr="00324D9E">
        <w:rPr>
          <w:rFonts w:cs="Arial"/>
        </w:rPr>
        <w:t xml:space="preserve"> is it </w:t>
      </w:r>
      <w:proofErr w:type="gramStart"/>
      <w:r w:rsidRPr="00324D9E">
        <w:rPr>
          <w:rFonts w:cs="Arial"/>
        </w:rPr>
        <w:t>OK</w:t>
      </w:r>
      <w:proofErr w:type="gramEnd"/>
      <w:r w:rsidR="001C0EF7" w:rsidRPr="00324D9E">
        <w:rPr>
          <w:rFonts w:cs="Arial"/>
        </w:rPr>
        <w:t xml:space="preserve"> to use it</w:t>
      </w:r>
      <w:r w:rsidRPr="00324D9E">
        <w:rPr>
          <w:rFonts w:cs="Arial"/>
        </w:rPr>
        <w:t>?</w:t>
      </w:r>
    </w:p>
    <w:p w:rsidR="00CF1C9C" w:rsidRPr="00324D9E" w:rsidRDefault="001C0EF7" w:rsidP="00152602">
      <w:pPr>
        <w:pStyle w:val="NormalIndent"/>
        <w:numPr>
          <w:ilvl w:val="2"/>
          <w:numId w:val="1"/>
        </w:numPr>
        <w:rPr>
          <w:rFonts w:cs="Arial"/>
        </w:rPr>
      </w:pPr>
      <w:r w:rsidRPr="00324D9E">
        <w:rPr>
          <w:rFonts w:cs="Arial"/>
        </w:rPr>
        <w:t xml:space="preserve">Residual concentrations/acceptable </w:t>
      </w:r>
      <w:r w:rsidR="00CF1C9C" w:rsidRPr="00324D9E">
        <w:rPr>
          <w:rFonts w:cs="Arial"/>
        </w:rPr>
        <w:t>risks</w:t>
      </w:r>
      <w:r w:rsidR="00152602" w:rsidRPr="00324D9E">
        <w:rPr>
          <w:rFonts w:cs="Arial"/>
        </w:rPr>
        <w:t>.  PMRA &amp; acceptable levels.</w:t>
      </w:r>
    </w:p>
    <w:p w:rsidR="00CF1C9C" w:rsidRPr="00324D9E" w:rsidRDefault="00CF1C9C" w:rsidP="00152602">
      <w:pPr>
        <w:pStyle w:val="NormalIndent"/>
        <w:rPr>
          <w:rFonts w:cs="Arial"/>
          <w:u w:val="single"/>
        </w:rPr>
      </w:pPr>
      <w:r w:rsidRPr="00324D9E">
        <w:rPr>
          <w:rFonts w:cs="Arial"/>
          <w:u w:val="single"/>
        </w:rPr>
        <w:t xml:space="preserve">Peter: Where is this </w:t>
      </w:r>
      <w:r w:rsidR="00BE0C5A" w:rsidRPr="00324D9E">
        <w:rPr>
          <w:rFonts w:cs="Arial"/>
          <w:u w:val="single"/>
        </w:rPr>
        <w:t xml:space="preserve">need for a </w:t>
      </w:r>
      <w:proofErr w:type="spellStart"/>
      <w:r w:rsidRPr="00324D9E">
        <w:rPr>
          <w:rFonts w:cs="Arial"/>
          <w:u w:val="single"/>
        </w:rPr>
        <w:t>glyphosate</w:t>
      </w:r>
      <w:proofErr w:type="spellEnd"/>
      <w:r w:rsidRPr="00324D9E">
        <w:rPr>
          <w:rFonts w:cs="Arial"/>
          <w:u w:val="single"/>
        </w:rPr>
        <w:t xml:space="preserve"> ban coming from?</w:t>
      </w:r>
      <w:r w:rsidR="001C0EF7" w:rsidRPr="00324D9E">
        <w:rPr>
          <w:rFonts w:cs="Arial"/>
          <w:u w:val="single"/>
        </w:rPr>
        <w:t xml:space="preserve"> What are the main drivers?</w:t>
      </w:r>
      <w:r w:rsidRPr="00324D9E">
        <w:rPr>
          <w:rFonts w:cs="Arial"/>
          <w:u w:val="single"/>
        </w:rPr>
        <w:t xml:space="preserve">  </w:t>
      </w:r>
    </w:p>
    <w:p w:rsidR="00CF1C9C" w:rsidRPr="00324D9E" w:rsidRDefault="00CF1C9C" w:rsidP="00152602">
      <w:pPr>
        <w:pStyle w:val="NormalIndent"/>
        <w:numPr>
          <w:ilvl w:val="2"/>
          <w:numId w:val="1"/>
        </w:numPr>
        <w:rPr>
          <w:rFonts w:cs="Arial"/>
        </w:rPr>
      </w:pPr>
      <w:r w:rsidRPr="00324D9E">
        <w:rPr>
          <w:rFonts w:cs="Arial"/>
        </w:rPr>
        <w:t>Strategic?</w:t>
      </w:r>
    </w:p>
    <w:p w:rsidR="00CF1C9C" w:rsidRPr="00324D9E" w:rsidRDefault="00CF1C9C" w:rsidP="00152602">
      <w:pPr>
        <w:pStyle w:val="NormalIndent"/>
        <w:numPr>
          <w:ilvl w:val="2"/>
          <w:numId w:val="1"/>
        </w:numPr>
        <w:rPr>
          <w:rFonts w:cs="Arial"/>
        </w:rPr>
      </w:pPr>
      <w:r w:rsidRPr="00324D9E">
        <w:rPr>
          <w:rFonts w:cs="Arial"/>
        </w:rPr>
        <w:t>Public Pressure?</w:t>
      </w:r>
    </w:p>
    <w:p w:rsidR="00CF1C9C" w:rsidRPr="00324D9E" w:rsidRDefault="00152602" w:rsidP="00152602">
      <w:pPr>
        <w:pStyle w:val="NormalIndent"/>
        <w:numPr>
          <w:ilvl w:val="2"/>
          <w:numId w:val="1"/>
        </w:numPr>
        <w:rPr>
          <w:rFonts w:cs="Arial"/>
        </w:rPr>
      </w:pPr>
      <w:r w:rsidRPr="00324D9E">
        <w:rPr>
          <w:rFonts w:cs="Arial"/>
        </w:rPr>
        <w:t>How c</w:t>
      </w:r>
      <w:r w:rsidR="0026086C" w:rsidRPr="00324D9E">
        <w:rPr>
          <w:rFonts w:cs="Arial"/>
        </w:rPr>
        <w:t>an IVMA help with clarity of</w:t>
      </w:r>
      <w:r w:rsidR="00CF1C9C" w:rsidRPr="00324D9E">
        <w:rPr>
          <w:rFonts w:cs="Arial"/>
        </w:rPr>
        <w:t xml:space="preserve"> information?</w:t>
      </w:r>
    </w:p>
    <w:p w:rsidR="0040220B" w:rsidRPr="00324D9E" w:rsidRDefault="00CF1C9C" w:rsidP="00152602">
      <w:pPr>
        <w:pStyle w:val="NormalIndent"/>
        <w:rPr>
          <w:rFonts w:cs="Arial"/>
          <w:u w:val="single"/>
        </w:rPr>
      </w:pPr>
      <w:r w:rsidRPr="00324D9E">
        <w:rPr>
          <w:rFonts w:cs="Arial"/>
          <w:u w:val="single"/>
        </w:rPr>
        <w:t>Peter: Benefits of Herbicide use:</w:t>
      </w:r>
    </w:p>
    <w:p w:rsidR="0040220B" w:rsidRPr="00324D9E" w:rsidRDefault="0040220B" w:rsidP="00152602">
      <w:pPr>
        <w:pStyle w:val="NormalIndent"/>
        <w:numPr>
          <w:ilvl w:val="2"/>
          <w:numId w:val="1"/>
        </w:numPr>
        <w:rPr>
          <w:rFonts w:cs="Arial"/>
        </w:rPr>
      </w:pPr>
      <w:r w:rsidRPr="00324D9E">
        <w:rPr>
          <w:rFonts w:cs="Arial"/>
        </w:rPr>
        <w:t>Critical to controlling invasive weeds</w:t>
      </w:r>
    </w:p>
    <w:p w:rsidR="0040220B" w:rsidRPr="00324D9E" w:rsidRDefault="0040220B" w:rsidP="00152602">
      <w:pPr>
        <w:pStyle w:val="NormalIndent"/>
        <w:numPr>
          <w:ilvl w:val="2"/>
          <w:numId w:val="1"/>
        </w:numPr>
        <w:rPr>
          <w:rFonts w:cs="Arial"/>
        </w:rPr>
      </w:pPr>
      <w:r w:rsidRPr="00324D9E">
        <w:rPr>
          <w:rFonts w:cs="Arial"/>
        </w:rPr>
        <w:t>Critical to cost effective forest regeneration on some of the most critical</w:t>
      </w:r>
      <w:r w:rsidR="0026086C" w:rsidRPr="00324D9E">
        <w:rPr>
          <w:rFonts w:cs="Arial"/>
        </w:rPr>
        <w:t xml:space="preserve"> stands to future timber supply and where there is no real alternative</w:t>
      </w:r>
    </w:p>
    <w:p w:rsidR="0040220B" w:rsidRPr="00324D9E" w:rsidRDefault="0040220B" w:rsidP="00152602">
      <w:pPr>
        <w:pStyle w:val="NormalIndent"/>
        <w:numPr>
          <w:ilvl w:val="2"/>
          <w:numId w:val="1"/>
        </w:numPr>
        <w:rPr>
          <w:rFonts w:cs="Arial"/>
        </w:rPr>
      </w:pPr>
      <w:r w:rsidRPr="00324D9E">
        <w:rPr>
          <w:rFonts w:cs="Arial"/>
        </w:rPr>
        <w:lastRenderedPageBreak/>
        <w:t xml:space="preserve">As opposed to some alternatives the use of herbicides has important ecological advantages with positive impacts </w:t>
      </w:r>
      <w:r w:rsidR="00DD5698" w:rsidRPr="00324D9E">
        <w:rPr>
          <w:rFonts w:cs="Arial"/>
        </w:rPr>
        <w:t xml:space="preserve">to </w:t>
      </w:r>
      <w:r w:rsidRPr="00324D9E">
        <w:rPr>
          <w:rFonts w:cs="Arial"/>
        </w:rPr>
        <w:t>ecosystems and water quality.</w:t>
      </w:r>
    </w:p>
    <w:p w:rsidR="00BE62EA" w:rsidRPr="00324D9E" w:rsidRDefault="00BE62EA" w:rsidP="00DD5698">
      <w:pPr>
        <w:pStyle w:val="NormalIndent"/>
        <w:numPr>
          <w:ilvl w:val="1"/>
          <w:numId w:val="3"/>
        </w:numPr>
        <w:rPr>
          <w:rFonts w:cs="Arial"/>
        </w:rPr>
      </w:pPr>
      <w:r w:rsidRPr="00324D9E">
        <w:rPr>
          <w:rFonts w:cs="Arial"/>
        </w:rPr>
        <w:t>Avoid</w:t>
      </w:r>
      <w:r w:rsidR="0026086C" w:rsidRPr="00324D9E">
        <w:rPr>
          <w:rFonts w:cs="Arial"/>
        </w:rPr>
        <w:t>s</w:t>
      </w:r>
      <w:r w:rsidRPr="00324D9E">
        <w:rPr>
          <w:rFonts w:cs="Arial"/>
        </w:rPr>
        <w:t xml:space="preserve"> impacts to soil physical properties and onsite displacement of soil and organic matter </w:t>
      </w:r>
      <w:r w:rsidR="00DD5698" w:rsidRPr="00324D9E">
        <w:rPr>
          <w:rFonts w:cs="Arial"/>
        </w:rPr>
        <w:t>thereby</w:t>
      </w:r>
      <w:r w:rsidRPr="00324D9E">
        <w:rPr>
          <w:rFonts w:cs="Arial"/>
        </w:rPr>
        <w:t xml:space="preserve"> minimizing erosion and sedimentation of streams.</w:t>
      </w:r>
    </w:p>
    <w:p w:rsidR="00BE62EA" w:rsidRPr="00324D9E" w:rsidRDefault="00BE62EA" w:rsidP="00DD5698">
      <w:pPr>
        <w:pStyle w:val="NormalIndent"/>
        <w:numPr>
          <w:ilvl w:val="1"/>
          <w:numId w:val="3"/>
        </w:numPr>
        <w:rPr>
          <w:rFonts w:cs="Arial"/>
        </w:rPr>
      </w:pPr>
      <w:r w:rsidRPr="00324D9E">
        <w:rPr>
          <w:rFonts w:cs="Arial"/>
        </w:rPr>
        <w:t>Avoid</w:t>
      </w:r>
      <w:r w:rsidR="0026086C" w:rsidRPr="00324D9E">
        <w:rPr>
          <w:rFonts w:cs="Arial"/>
        </w:rPr>
        <w:t>s</w:t>
      </w:r>
      <w:r w:rsidRPr="00324D9E">
        <w:rPr>
          <w:rFonts w:cs="Arial"/>
        </w:rPr>
        <w:t xml:space="preserve"> nitrogen losses assoc</w:t>
      </w:r>
      <w:r w:rsidR="0026086C" w:rsidRPr="00324D9E">
        <w:rPr>
          <w:rFonts w:cs="Arial"/>
        </w:rPr>
        <w:t>iated with burning</w:t>
      </w:r>
    </w:p>
    <w:p w:rsidR="00BE62EA" w:rsidRPr="00324D9E" w:rsidRDefault="00BE62EA" w:rsidP="00BE62EA">
      <w:pPr>
        <w:pStyle w:val="NormalIndent"/>
        <w:ind w:left="2160"/>
        <w:rPr>
          <w:rFonts w:cs="Arial"/>
        </w:rPr>
      </w:pPr>
      <w:r w:rsidRPr="00324D9E">
        <w:rPr>
          <w:rFonts w:cs="Arial"/>
        </w:rPr>
        <w:tab/>
      </w:r>
    </w:p>
    <w:p w:rsidR="00572AFF" w:rsidRPr="00324D9E" w:rsidRDefault="00572AFF" w:rsidP="00572AFF">
      <w:pPr>
        <w:pStyle w:val="NormalIndent"/>
        <w:numPr>
          <w:ilvl w:val="2"/>
          <w:numId w:val="1"/>
        </w:numPr>
        <w:rPr>
          <w:rFonts w:cs="Arial"/>
        </w:rPr>
      </w:pPr>
      <w:r w:rsidRPr="00324D9E">
        <w:rPr>
          <w:rFonts w:cs="Arial"/>
        </w:rPr>
        <w:t>Worker safety (trip/fall</w:t>
      </w:r>
      <w:r>
        <w:rPr>
          <w:rFonts w:cs="Arial"/>
        </w:rPr>
        <w:t>/strain</w:t>
      </w:r>
      <w:r w:rsidRPr="00324D9E">
        <w:rPr>
          <w:rFonts w:cs="Arial"/>
        </w:rPr>
        <w:t xml:space="preserve">, chainsaws and </w:t>
      </w:r>
      <w:proofErr w:type="spellStart"/>
      <w:r w:rsidRPr="00324D9E">
        <w:rPr>
          <w:rFonts w:cs="Arial"/>
        </w:rPr>
        <w:t>brushsaws</w:t>
      </w:r>
      <w:proofErr w:type="spellEnd"/>
      <w:r w:rsidRPr="00324D9E">
        <w:rPr>
          <w:rFonts w:cs="Arial"/>
        </w:rPr>
        <w:t>, 2 cycle exhaust gas</w:t>
      </w:r>
      <w:r>
        <w:rPr>
          <w:rFonts w:cs="Arial"/>
        </w:rPr>
        <w:t>!!</w:t>
      </w:r>
      <w:r w:rsidRPr="00324D9E">
        <w:rPr>
          <w:rFonts w:cs="Arial"/>
        </w:rPr>
        <w:t>)</w:t>
      </w:r>
    </w:p>
    <w:p w:rsidR="00CF1C9C" w:rsidRPr="00324D9E" w:rsidRDefault="00CF1C9C" w:rsidP="00152602">
      <w:pPr>
        <w:pStyle w:val="NormalIndent"/>
        <w:numPr>
          <w:ilvl w:val="2"/>
          <w:numId w:val="1"/>
        </w:numPr>
        <w:rPr>
          <w:rFonts w:cs="Arial"/>
        </w:rPr>
      </w:pPr>
      <w:proofErr w:type="spellStart"/>
      <w:r w:rsidRPr="00324D9E">
        <w:rPr>
          <w:rFonts w:cs="Arial"/>
        </w:rPr>
        <w:t>Glyphosate</w:t>
      </w:r>
      <w:proofErr w:type="spellEnd"/>
      <w:r w:rsidRPr="00324D9E">
        <w:rPr>
          <w:rFonts w:cs="Arial"/>
        </w:rPr>
        <w:t xml:space="preserve"> </w:t>
      </w:r>
      <w:r w:rsidR="00DD5698" w:rsidRPr="00324D9E">
        <w:rPr>
          <w:rFonts w:cs="Arial"/>
        </w:rPr>
        <w:t>is only one tool in the toolbox and is frequently only</w:t>
      </w:r>
      <w:r w:rsidRPr="00324D9E">
        <w:rPr>
          <w:rFonts w:cs="Arial"/>
        </w:rPr>
        <w:t xml:space="preserve"> </w:t>
      </w:r>
      <w:proofErr w:type="spellStart"/>
      <w:r w:rsidRPr="00324D9E">
        <w:rPr>
          <w:rFonts w:cs="Arial"/>
        </w:rPr>
        <w:t>used</w:t>
      </w:r>
      <w:proofErr w:type="spellEnd"/>
      <w:r w:rsidRPr="00324D9E">
        <w:rPr>
          <w:rFonts w:cs="Arial"/>
        </w:rPr>
        <w:t xml:space="preserve"> selectively when circumstances permit</w:t>
      </w:r>
      <w:r w:rsidR="00DD5698" w:rsidRPr="00324D9E">
        <w:rPr>
          <w:rFonts w:cs="Arial"/>
        </w:rPr>
        <w:t xml:space="preserve"> (</w:t>
      </w:r>
      <w:proofErr w:type="spellStart"/>
      <w:r w:rsidR="00DD5698" w:rsidRPr="00324D9E">
        <w:rPr>
          <w:rFonts w:cs="Arial"/>
        </w:rPr>
        <w:t>ie</w:t>
      </w:r>
      <w:proofErr w:type="spellEnd"/>
      <w:r w:rsidR="00DD5698" w:rsidRPr="00324D9E">
        <w:rPr>
          <w:rFonts w:cs="Arial"/>
        </w:rPr>
        <w:t xml:space="preserve"> Aspen Patches &gt; 1 hectare)</w:t>
      </w:r>
      <w:r w:rsidR="00572AFF">
        <w:rPr>
          <w:rFonts w:cs="Arial"/>
        </w:rPr>
        <w:t xml:space="preserve"> which means selective impacts to habitat</w:t>
      </w:r>
    </w:p>
    <w:p w:rsidR="00CF1C9C" w:rsidRPr="00324D9E" w:rsidRDefault="00BE62EA" w:rsidP="00152602">
      <w:pPr>
        <w:pStyle w:val="NormalIndent"/>
        <w:numPr>
          <w:ilvl w:val="2"/>
          <w:numId w:val="1"/>
        </w:numPr>
        <w:rPr>
          <w:rFonts w:cs="Arial"/>
        </w:rPr>
      </w:pPr>
      <w:r w:rsidRPr="00324D9E">
        <w:rPr>
          <w:rFonts w:cs="Arial"/>
        </w:rPr>
        <w:t>Other tools are also used and a well considered selection proc</w:t>
      </w:r>
      <w:r w:rsidR="00DD5698" w:rsidRPr="00324D9E">
        <w:rPr>
          <w:rFonts w:cs="Arial"/>
        </w:rPr>
        <w:t xml:space="preserve">ess is followed before  considering </w:t>
      </w:r>
      <w:r w:rsidRPr="00324D9E">
        <w:rPr>
          <w:rFonts w:cs="Arial"/>
        </w:rPr>
        <w:t>herbicides</w:t>
      </w:r>
      <w:r w:rsidR="00DD5698" w:rsidRPr="00324D9E">
        <w:rPr>
          <w:rFonts w:cs="Arial"/>
        </w:rPr>
        <w:t xml:space="preserve"> as a choice</w:t>
      </w:r>
    </w:p>
    <w:p w:rsidR="00CF1C9C" w:rsidRPr="00324D9E" w:rsidRDefault="00CF1C9C" w:rsidP="00152602">
      <w:pPr>
        <w:pStyle w:val="NormalIndent"/>
        <w:numPr>
          <w:ilvl w:val="2"/>
          <w:numId w:val="1"/>
        </w:numPr>
        <w:rPr>
          <w:rFonts w:cs="Arial"/>
        </w:rPr>
      </w:pPr>
      <w:r w:rsidRPr="00324D9E">
        <w:rPr>
          <w:rFonts w:cs="Arial"/>
        </w:rPr>
        <w:t>Rigorous standards for use</w:t>
      </w:r>
      <w:r w:rsidR="00BE0C5A" w:rsidRPr="00324D9E">
        <w:rPr>
          <w:rFonts w:cs="Arial"/>
        </w:rPr>
        <w:t xml:space="preserve"> and a robust system of regulation to follow when contemplating use</w:t>
      </w:r>
      <w:r w:rsidR="00DD5698" w:rsidRPr="00324D9E">
        <w:rPr>
          <w:rFonts w:cs="Arial"/>
        </w:rPr>
        <w:t xml:space="preserve"> of Herbicides (IVM Program Development)</w:t>
      </w:r>
    </w:p>
    <w:p w:rsidR="00AD1978" w:rsidRPr="00324D9E" w:rsidRDefault="00AD1978" w:rsidP="00152602">
      <w:pPr>
        <w:pStyle w:val="NormalIndent"/>
        <w:numPr>
          <w:ilvl w:val="2"/>
          <w:numId w:val="1"/>
        </w:numPr>
        <w:rPr>
          <w:rFonts w:cs="Arial"/>
          <w:i/>
          <w:u w:val="single"/>
        </w:rPr>
      </w:pPr>
      <w:r w:rsidRPr="00324D9E">
        <w:rPr>
          <w:rFonts w:cs="Arial"/>
        </w:rPr>
        <w:t xml:space="preserve">Ultimately a ban such as proposed would have serious downstream impacts.  Is it really necessary or can we achieve the objectives by doing something else or differently??  </w:t>
      </w:r>
      <w:r w:rsidRPr="00324D9E">
        <w:rPr>
          <w:rFonts w:cs="Arial"/>
          <w:i/>
          <w:u w:val="single"/>
        </w:rPr>
        <w:t>- Segue</w:t>
      </w:r>
    </w:p>
    <w:p w:rsidR="00CF1C9C" w:rsidRPr="00324D9E" w:rsidRDefault="00CF1C9C" w:rsidP="00AD1978">
      <w:pPr>
        <w:pStyle w:val="NormalIndent"/>
        <w:rPr>
          <w:rFonts w:cs="Arial"/>
          <w:sz w:val="18"/>
          <w:szCs w:val="18"/>
          <w:u w:val="single"/>
        </w:rPr>
      </w:pPr>
      <w:r w:rsidRPr="00324D9E">
        <w:rPr>
          <w:rFonts w:cs="Arial"/>
          <w:u w:val="single"/>
        </w:rPr>
        <w:t xml:space="preserve">Rick: Proposed Alternatives to a </w:t>
      </w:r>
      <w:proofErr w:type="spellStart"/>
      <w:r w:rsidRPr="00324D9E">
        <w:rPr>
          <w:rFonts w:cs="Arial"/>
          <w:u w:val="single"/>
        </w:rPr>
        <w:t>Glyphosate</w:t>
      </w:r>
      <w:proofErr w:type="spellEnd"/>
      <w:r w:rsidRPr="00324D9E">
        <w:rPr>
          <w:rFonts w:cs="Arial"/>
          <w:u w:val="single"/>
        </w:rPr>
        <w:t xml:space="preserve"> ban:</w:t>
      </w:r>
      <w:r w:rsidR="00124759" w:rsidRPr="00324D9E">
        <w:rPr>
          <w:rFonts w:cs="Arial"/>
          <w:u w:val="single"/>
        </w:rPr>
        <w:t xml:space="preserve"> </w:t>
      </w:r>
      <w:r w:rsidR="00324D9E" w:rsidRPr="00324D9E">
        <w:rPr>
          <w:rFonts w:cs="Arial"/>
          <w:i/>
          <w:sz w:val="18"/>
          <w:szCs w:val="18"/>
          <w:u w:val="single"/>
        </w:rPr>
        <w:t xml:space="preserve">(see notes </w:t>
      </w:r>
      <w:r w:rsidR="00124759" w:rsidRPr="00324D9E">
        <w:rPr>
          <w:rFonts w:cs="Arial"/>
          <w:i/>
          <w:sz w:val="18"/>
          <w:szCs w:val="18"/>
          <w:u w:val="single"/>
        </w:rPr>
        <w:t>attached for backup to this discussion)</w:t>
      </w:r>
    </w:p>
    <w:p w:rsidR="00CF1C9C" w:rsidRPr="00324D9E" w:rsidRDefault="00CF1C9C" w:rsidP="008D3FC1">
      <w:pPr>
        <w:pStyle w:val="NormalIndent"/>
        <w:numPr>
          <w:ilvl w:val="2"/>
          <w:numId w:val="1"/>
        </w:numPr>
        <w:rPr>
          <w:rFonts w:cs="Arial"/>
        </w:rPr>
      </w:pPr>
      <w:r w:rsidRPr="00324D9E">
        <w:rPr>
          <w:rFonts w:cs="Arial"/>
        </w:rPr>
        <w:t xml:space="preserve">Other methods </w:t>
      </w:r>
      <w:r w:rsidR="008D3FC1" w:rsidRPr="00324D9E">
        <w:rPr>
          <w:rFonts w:cs="Arial"/>
        </w:rPr>
        <w:t xml:space="preserve"> and existing regulations </w:t>
      </w:r>
      <w:r w:rsidRPr="00324D9E">
        <w:rPr>
          <w:rFonts w:cs="Arial"/>
        </w:rPr>
        <w:t xml:space="preserve">could achieve </w:t>
      </w:r>
      <w:r w:rsidR="008D3FC1" w:rsidRPr="00324D9E">
        <w:rPr>
          <w:rFonts w:cs="Arial"/>
        </w:rPr>
        <w:t xml:space="preserve">the same </w:t>
      </w:r>
      <w:r w:rsidRPr="00324D9E">
        <w:rPr>
          <w:rFonts w:cs="Arial"/>
        </w:rPr>
        <w:t>objectives</w:t>
      </w:r>
      <w:r w:rsidR="008D3FC1" w:rsidRPr="00324D9E">
        <w:rPr>
          <w:rFonts w:cs="Arial"/>
        </w:rPr>
        <w:t xml:space="preserve"> with respect to wildlife impacts</w:t>
      </w:r>
      <w:r w:rsidRPr="00324D9E">
        <w:rPr>
          <w:rFonts w:cs="Arial"/>
        </w:rPr>
        <w:t xml:space="preserve"> </w:t>
      </w:r>
      <w:r w:rsidR="008D3FC1" w:rsidRPr="00324D9E">
        <w:rPr>
          <w:rFonts w:cs="Arial"/>
        </w:rPr>
        <w:t>(notices &amp; orders etc)</w:t>
      </w:r>
    </w:p>
    <w:p w:rsidR="00CF1C9C" w:rsidRPr="00324D9E" w:rsidRDefault="00CF1C9C" w:rsidP="008D3FC1">
      <w:pPr>
        <w:pStyle w:val="NormalIndent"/>
        <w:numPr>
          <w:ilvl w:val="2"/>
          <w:numId w:val="1"/>
        </w:numPr>
        <w:rPr>
          <w:rFonts w:cs="Arial"/>
        </w:rPr>
      </w:pPr>
      <w:r w:rsidRPr="00324D9E">
        <w:rPr>
          <w:rFonts w:cs="Arial"/>
        </w:rPr>
        <w:t>Information about consultation during PMP development and NIT stage</w:t>
      </w:r>
      <w:r w:rsidR="008D3FC1" w:rsidRPr="00324D9E">
        <w:rPr>
          <w:rFonts w:cs="Arial"/>
        </w:rPr>
        <w:t>.  A robust system is already in place.  People need to know it exists and they will be heard.</w:t>
      </w:r>
    </w:p>
    <w:p w:rsidR="00CF1C9C" w:rsidRPr="00324D9E" w:rsidRDefault="00CF1C9C" w:rsidP="00CF1C9C">
      <w:pPr>
        <w:pStyle w:val="NormalIndent"/>
        <w:numPr>
          <w:ilvl w:val="3"/>
          <w:numId w:val="2"/>
        </w:numPr>
        <w:rPr>
          <w:rFonts w:cs="Arial"/>
        </w:rPr>
      </w:pPr>
      <w:r w:rsidRPr="00324D9E">
        <w:rPr>
          <w:rFonts w:cs="Arial"/>
        </w:rPr>
        <w:t>Members of the public and FN</w:t>
      </w:r>
      <w:r w:rsidR="008D3FC1" w:rsidRPr="00324D9E">
        <w:rPr>
          <w:rFonts w:cs="Arial"/>
        </w:rPr>
        <w:t>s must be made aware that they</w:t>
      </w:r>
      <w:r w:rsidRPr="00324D9E">
        <w:rPr>
          <w:rFonts w:cs="Arial"/>
        </w:rPr>
        <w:t xml:space="preserve"> can provide information about specific resources they would like to prot</w:t>
      </w:r>
      <w:r w:rsidR="008D3FC1" w:rsidRPr="00324D9E">
        <w:rPr>
          <w:rFonts w:cs="Arial"/>
        </w:rPr>
        <w:t>ect, and companies will take appropriate steps</w:t>
      </w:r>
      <w:r w:rsidRPr="00324D9E">
        <w:rPr>
          <w:rFonts w:cs="Arial"/>
        </w:rPr>
        <w:t>.</w:t>
      </w:r>
    </w:p>
    <w:p w:rsidR="00CF1C9C" w:rsidRPr="00324D9E" w:rsidRDefault="00CF1C9C" w:rsidP="00CF1C9C">
      <w:pPr>
        <w:pStyle w:val="NormalIndent"/>
        <w:ind w:left="2520"/>
        <w:rPr>
          <w:rFonts w:cs="Arial"/>
        </w:rPr>
      </w:pPr>
    </w:p>
    <w:p w:rsidR="00EB3D53" w:rsidRPr="00324D9E" w:rsidRDefault="00EB3D53" w:rsidP="0050108D">
      <w:pPr>
        <w:pStyle w:val="m1926587284794640225msonormalindent"/>
        <w:shd w:val="clear" w:color="auto" w:fill="FFFFFF"/>
        <w:spacing w:before="120" w:beforeAutospacing="0" w:after="120" w:afterAutospacing="0" w:line="253" w:lineRule="atLeast"/>
        <w:rPr>
          <w:rFonts w:asciiTheme="minorHAnsi" w:hAnsiTheme="minorHAnsi" w:cs="Arial"/>
          <w:b/>
          <w:bCs/>
          <w:color w:val="222222"/>
          <w:spacing w:val="4"/>
          <w:sz w:val="22"/>
          <w:szCs w:val="22"/>
        </w:rPr>
      </w:pPr>
    </w:p>
    <w:p w:rsidR="0026086C" w:rsidRPr="00324D9E" w:rsidRDefault="0026086C" w:rsidP="00124759">
      <w:pPr>
        <w:pStyle w:val="NormalJustified"/>
        <w:spacing w:before="0" w:after="0"/>
        <w:jc w:val="left"/>
        <w:rPr>
          <w:rFonts w:asciiTheme="minorHAnsi" w:hAnsiTheme="minorHAnsi" w:cs="Arial"/>
          <w:b/>
          <w:i/>
          <w:sz w:val="22"/>
          <w:szCs w:val="20"/>
        </w:rPr>
      </w:pPr>
    </w:p>
    <w:p w:rsidR="0026086C" w:rsidRPr="00324D9E" w:rsidRDefault="0026086C" w:rsidP="00124759">
      <w:pPr>
        <w:pStyle w:val="NormalJustified"/>
        <w:spacing w:before="0" w:after="0"/>
        <w:jc w:val="left"/>
        <w:rPr>
          <w:rFonts w:asciiTheme="minorHAnsi" w:hAnsiTheme="minorHAnsi" w:cs="Arial"/>
          <w:b/>
          <w:i/>
          <w:sz w:val="22"/>
          <w:szCs w:val="20"/>
        </w:rPr>
      </w:pPr>
    </w:p>
    <w:p w:rsidR="0026086C" w:rsidRPr="00324D9E" w:rsidRDefault="0026086C" w:rsidP="00124759">
      <w:pPr>
        <w:pStyle w:val="NormalJustified"/>
        <w:spacing w:before="0" w:after="0"/>
        <w:jc w:val="left"/>
        <w:rPr>
          <w:rFonts w:asciiTheme="minorHAnsi" w:hAnsiTheme="minorHAnsi" w:cs="Arial"/>
          <w:b/>
          <w:i/>
          <w:sz w:val="22"/>
          <w:szCs w:val="20"/>
        </w:rPr>
      </w:pPr>
    </w:p>
    <w:p w:rsidR="0026086C" w:rsidRPr="00324D9E" w:rsidRDefault="0026086C" w:rsidP="00124759">
      <w:pPr>
        <w:pStyle w:val="NormalJustified"/>
        <w:spacing w:before="0" w:after="0"/>
        <w:jc w:val="left"/>
        <w:rPr>
          <w:rFonts w:asciiTheme="minorHAnsi" w:hAnsiTheme="minorHAnsi" w:cs="Arial"/>
          <w:b/>
          <w:i/>
          <w:sz w:val="22"/>
          <w:szCs w:val="20"/>
        </w:rPr>
      </w:pPr>
    </w:p>
    <w:p w:rsidR="0026086C" w:rsidRPr="00324D9E" w:rsidRDefault="0026086C" w:rsidP="00124759">
      <w:pPr>
        <w:pStyle w:val="NormalJustified"/>
        <w:spacing w:before="0" w:after="0"/>
        <w:jc w:val="left"/>
        <w:rPr>
          <w:rFonts w:asciiTheme="minorHAnsi" w:hAnsiTheme="minorHAnsi" w:cs="Arial"/>
          <w:b/>
          <w:i/>
          <w:sz w:val="22"/>
          <w:szCs w:val="20"/>
        </w:rPr>
      </w:pPr>
    </w:p>
    <w:p w:rsidR="0026086C" w:rsidRPr="00324D9E" w:rsidRDefault="0026086C" w:rsidP="00124759">
      <w:pPr>
        <w:pStyle w:val="NormalJustified"/>
        <w:spacing w:before="0" w:after="0"/>
        <w:jc w:val="left"/>
        <w:rPr>
          <w:rFonts w:asciiTheme="minorHAnsi" w:hAnsiTheme="minorHAnsi" w:cs="Arial"/>
          <w:b/>
          <w:i/>
          <w:sz w:val="22"/>
          <w:szCs w:val="20"/>
        </w:rPr>
      </w:pPr>
    </w:p>
    <w:p w:rsidR="006376FF" w:rsidRPr="006376FF" w:rsidRDefault="006376FF" w:rsidP="006376FF">
      <w:pPr>
        <w:pStyle w:val="NormalJustified"/>
        <w:spacing w:before="0" w:after="0"/>
        <w:jc w:val="center"/>
        <w:rPr>
          <w:rFonts w:asciiTheme="minorHAnsi" w:hAnsiTheme="minorHAnsi" w:cs="Arial"/>
          <w:b/>
          <w:i/>
          <w:sz w:val="22"/>
          <w:szCs w:val="20"/>
          <w:u w:val="single"/>
        </w:rPr>
      </w:pPr>
      <w:r w:rsidRPr="006376FF">
        <w:rPr>
          <w:rFonts w:asciiTheme="minorHAnsi" w:hAnsiTheme="minorHAnsi" w:cs="Arial"/>
          <w:b/>
          <w:i/>
          <w:sz w:val="22"/>
          <w:szCs w:val="20"/>
          <w:u w:val="single"/>
        </w:rPr>
        <w:t>Conversational supporting points</w:t>
      </w:r>
    </w:p>
    <w:p w:rsidR="006376FF" w:rsidRDefault="006376FF" w:rsidP="00124759">
      <w:pPr>
        <w:pStyle w:val="NormalJustified"/>
        <w:spacing w:before="0" w:after="0"/>
        <w:jc w:val="left"/>
        <w:rPr>
          <w:rFonts w:asciiTheme="minorHAnsi" w:hAnsiTheme="minorHAnsi" w:cs="Arial"/>
          <w:b/>
          <w:i/>
          <w:sz w:val="22"/>
          <w:szCs w:val="20"/>
        </w:rPr>
      </w:pPr>
    </w:p>
    <w:p w:rsidR="0026086C" w:rsidRPr="00324D9E" w:rsidRDefault="0026086C" w:rsidP="00124759">
      <w:pPr>
        <w:pStyle w:val="NormalJustified"/>
        <w:spacing w:before="0" w:after="0"/>
        <w:jc w:val="left"/>
        <w:rPr>
          <w:rFonts w:asciiTheme="minorHAnsi" w:hAnsiTheme="minorHAnsi" w:cs="Arial"/>
          <w:b/>
          <w:i/>
          <w:sz w:val="22"/>
          <w:szCs w:val="20"/>
        </w:rPr>
      </w:pPr>
      <w:r w:rsidRPr="00324D9E">
        <w:rPr>
          <w:rFonts w:asciiTheme="minorHAnsi" w:hAnsiTheme="minorHAnsi" w:cs="Arial"/>
          <w:b/>
          <w:i/>
          <w:sz w:val="22"/>
          <w:szCs w:val="20"/>
        </w:rPr>
        <w:t>FLNRO Inventory Data Summary and Comment;</w:t>
      </w:r>
    </w:p>
    <w:p w:rsidR="0026086C" w:rsidRPr="00324D9E" w:rsidRDefault="0026086C" w:rsidP="00124759">
      <w:pPr>
        <w:pStyle w:val="NormalJustified"/>
        <w:spacing w:before="0" w:after="0"/>
        <w:jc w:val="left"/>
        <w:rPr>
          <w:rFonts w:asciiTheme="minorHAnsi" w:hAnsiTheme="minorHAnsi" w:cs="Arial"/>
          <w:b/>
          <w:i/>
          <w:sz w:val="22"/>
          <w:szCs w:val="20"/>
        </w:rPr>
      </w:pPr>
    </w:p>
    <w:p w:rsidR="00124759" w:rsidRPr="00324D9E" w:rsidRDefault="00124759" w:rsidP="00124759">
      <w:pPr>
        <w:pStyle w:val="NormalJustified"/>
        <w:spacing w:before="0" w:after="0"/>
        <w:jc w:val="left"/>
        <w:rPr>
          <w:rFonts w:asciiTheme="minorHAnsi" w:hAnsiTheme="minorHAnsi" w:cs="Arial"/>
          <w:b/>
          <w:i/>
          <w:sz w:val="22"/>
          <w:szCs w:val="20"/>
        </w:rPr>
      </w:pPr>
      <w:r w:rsidRPr="00324D9E">
        <w:rPr>
          <w:rFonts w:asciiTheme="minorHAnsi" w:hAnsiTheme="minorHAnsi" w:cs="Arial"/>
          <w:b/>
          <w:i/>
          <w:sz w:val="22"/>
          <w:szCs w:val="20"/>
        </w:rPr>
        <w:t>Why is it necessary to Control Competing Vegetation Following Harvesting in Forestry?</w:t>
      </w:r>
    </w:p>
    <w:p w:rsidR="00124759" w:rsidRPr="00324D9E" w:rsidRDefault="00124759" w:rsidP="00124759">
      <w:pPr>
        <w:pStyle w:val="NormalJustified"/>
        <w:spacing w:before="0" w:after="0"/>
        <w:jc w:val="left"/>
        <w:rPr>
          <w:rFonts w:asciiTheme="minorHAnsi" w:hAnsiTheme="minorHAnsi" w:cs="Arial"/>
          <w:b/>
          <w:i/>
          <w:sz w:val="22"/>
          <w:szCs w:val="20"/>
        </w:rPr>
      </w:pPr>
    </w:p>
    <w:p w:rsidR="00E43E26" w:rsidRPr="00324D9E" w:rsidRDefault="00124759" w:rsidP="00E43E26">
      <w:pPr>
        <w:pStyle w:val="NormalJustified"/>
        <w:numPr>
          <w:ilvl w:val="0"/>
          <w:numId w:val="4"/>
        </w:numPr>
        <w:spacing w:before="0" w:after="0"/>
        <w:jc w:val="left"/>
        <w:rPr>
          <w:rFonts w:asciiTheme="minorHAnsi" w:hAnsiTheme="minorHAnsi" w:cs="Arial"/>
          <w:sz w:val="22"/>
          <w:szCs w:val="20"/>
        </w:rPr>
      </w:pPr>
      <w:r w:rsidRPr="00324D9E">
        <w:rPr>
          <w:rFonts w:asciiTheme="minorHAnsi" w:hAnsiTheme="minorHAnsi" w:cs="Arial"/>
          <w:sz w:val="22"/>
          <w:szCs w:val="20"/>
        </w:rPr>
        <w:t xml:space="preserve">Following harvest, numerous pioneer plant species (e.g., grass, Trembling aspen, alder, fireweed, Black twinberry, Red elderberry) which are well adapted to disturbed sites and open growing conditions, easily outcompete newly established crop trees (e.g., spruce, </w:t>
      </w:r>
      <w:proofErr w:type="spellStart"/>
      <w:r w:rsidRPr="00324D9E">
        <w:rPr>
          <w:rFonts w:asciiTheme="minorHAnsi" w:hAnsiTheme="minorHAnsi" w:cs="Arial"/>
          <w:sz w:val="22"/>
          <w:szCs w:val="20"/>
        </w:rPr>
        <w:t>Lodgepole</w:t>
      </w:r>
      <w:proofErr w:type="spellEnd"/>
      <w:r w:rsidRPr="00324D9E">
        <w:rPr>
          <w:rFonts w:asciiTheme="minorHAnsi" w:hAnsiTheme="minorHAnsi" w:cs="Arial"/>
          <w:sz w:val="22"/>
          <w:szCs w:val="20"/>
        </w:rPr>
        <w:t xml:space="preserve"> pine, Douglas fir), for nutrients, light, water and growing space.</w:t>
      </w:r>
    </w:p>
    <w:p w:rsidR="00E43E26" w:rsidRPr="00324D9E" w:rsidRDefault="00E43E26" w:rsidP="00E43E26">
      <w:pPr>
        <w:pStyle w:val="NormalJustified"/>
        <w:spacing w:before="0" w:after="0"/>
        <w:jc w:val="left"/>
        <w:rPr>
          <w:rFonts w:asciiTheme="minorHAnsi" w:hAnsiTheme="minorHAnsi" w:cs="Arial"/>
          <w:b/>
          <w:i/>
          <w:sz w:val="22"/>
          <w:szCs w:val="20"/>
        </w:rPr>
      </w:pPr>
    </w:p>
    <w:p w:rsidR="00E43E26" w:rsidRPr="00324D9E" w:rsidRDefault="00E43E26" w:rsidP="00E43E26">
      <w:pPr>
        <w:pStyle w:val="NormalJustified"/>
        <w:spacing w:before="0" w:after="0"/>
        <w:jc w:val="left"/>
        <w:rPr>
          <w:rFonts w:asciiTheme="minorHAnsi" w:hAnsiTheme="minorHAnsi" w:cs="Arial"/>
          <w:b/>
          <w:i/>
          <w:sz w:val="22"/>
          <w:szCs w:val="20"/>
        </w:rPr>
      </w:pPr>
      <w:r w:rsidRPr="00324D9E">
        <w:rPr>
          <w:rFonts w:asciiTheme="minorHAnsi" w:hAnsiTheme="minorHAnsi" w:cs="Arial"/>
          <w:b/>
          <w:i/>
          <w:sz w:val="22"/>
          <w:szCs w:val="20"/>
        </w:rPr>
        <w:t>What is really happening on the landscape?</w:t>
      </w:r>
    </w:p>
    <w:p w:rsidR="00124759" w:rsidRPr="00324D9E" w:rsidRDefault="00124759" w:rsidP="00124759">
      <w:pPr>
        <w:pStyle w:val="NormalJustified"/>
        <w:spacing w:before="0" w:after="0"/>
        <w:ind w:left="720"/>
        <w:jc w:val="left"/>
        <w:rPr>
          <w:rFonts w:asciiTheme="minorHAnsi" w:hAnsiTheme="minorHAnsi" w:cs="Arial"/>
          <w:sz w:val="22"/>
          <w:szCs w:val="20"/>
        </w:rPr>
      </w:pPr>
    </w:p>
    <w:p w:rsidR="00124759" w:rsidRPr="00324D9E" w:rsidRDefault="00124759" w:rsidP="00124759">
      <w:pPr>
        <w:pStyle w:val="ListParagraph"/>
        <w:numPr>
          <w:ilvl w:val="0"/>
          <w:numId w:val="4"/>
        </w:numPr>
        <w:rPr>
          <w:rFonts w:asciiTheme="minorHAnsi" w:hAnsiTheme="minorHAnsi" w:cs="Arial"/>
        </w:rPr>
      </w:pPr>
      <w:r w:rsidRPr="00324D9E">
        <w:rPr>
          <w:rFonts w:asciiTheme="minorHAnsi" w:hAnsiTheme="minorHAnsi" w:cs="Arial"/>
        </w:rPr>
        <w:t>Forest companies in the Interior are not in the business of logging deciduous stands</w:t>
      </w:r>
      <w:r w:rsidR="00E43E26" w:rsidRPr="00324D9E">
        <w:rPr>
          <w:rFonts w:asciiTheme="minorHAnsi" w:hAnsiTheme="minorHAnsi" w:cs="Arial"/>
        </w:rPr>
        <w:t xml:space="preserve"> and</w:t>
      </w:r>
      <w:r w:rsidRPr="00324D9E">
        <w:rPr>
          <w:rFonts w:asciiTheme="minorHAnsi" w:hAnsiTheme="minorHAnsi" w:cs="Arial"/>
        </w:rPr>
        <w:t xml:space="preserve"> for the most part pure conifer stands are harvested.</w:t>
      </w:r>
    </w:p>
    <w:p w:rsidR="00124759" w:rsidRPr="00324D9E" w:rsidRDefault="00124759" w:rsidP="00124759">
      <w:pPr>
        <w:pStyle w:val="ListParagraph"/>
        <w:numPr>
          <w:ilvl w:val="0"/>
          <w:numId w:val="4"/>
        </w:numPr>
        <w:rPr>
          <w:rFonts w:asciiTheme="minorHAnsi" w:hAnsiTheme="minorHAnsi" w:cs="Arial"/>
        </w:rPr>
      </w:pPr>
      <w:r w:rsidRPr="00324D9E">
        <w:rPr>
          <w:rFonts w:asciiTheme="minorHAnsi" w:hAnsiTheme="minorHAnsi" w:cs="Arial"/>
        </w:rPr>
        <w:t>A</w:t>
      </w:r>
      <w:r w:rsidR="00E43E26" w:rsidRPr="00324D9E">
        <w:rPr>
          <w:rFonts w:asciiTheme="minorHAnsi" w:hAnsiTheme="minorHAnsi" w:cs="Arial"/>
        </w:rPr>
        <w:t>ny A</w:t>
      </w:r>
      <w:r w:rsidRPr="00324D9E">
        <w:rPr>
          <w:rFonts w:asciiTheme="minorHAnsi" w:hAnsiTheme="minorHAnsi" w:cs="Arial"/>
        </w:rPr>
        <w:t>spen</w:t>
      </w:r>
      <w:r w:rsidR="00E43E26" w:rsidRPr="00324D9E">
        <w:rPr>
          <w:rFonts w:asciiTheme="minorHAnsi" w:hAnsiTheme="minorHAnsi" w:cs="Arial"/>
        </w:rPr>
        <w:t xml:space="preserve"> or other </w:t>
      </w:r>
      <w:proofErr w:type="spellStart"/>
      <w:r w:rsidR="00E43E26" w:rsidRPr="00324D9E">
        <w:rPr>
          <w:rFonts w:asciiTheme="minorHAnsi" w:hAnsiTheme="minorHAnsi" w:cs="Arial"/>
        </w:rPr>
        <w:t>decidous</w:t>
      </w:r>
      <w:proofErr w:type="spellEnd"/>
      <w:r w:rsidRPr="00324D9E">
        <w:rPr>
          <w:rFonts w:asciiTheme="minorHAnsi" w:hAnsiTheme="minorHAnsi" w:cs="Arial"/>
        </w:rPr>
        <w:t xml:space="preserve"> is usually left standing or put into wildlife Tree Patches (WTP</w:t>
      </w:r>
      <w:r w:rsidR="00E43E26" w:rsidRPr="00324D9E">
        <w:rPr>
          <w:rFonts w:asciiTheme="minorHAnsi" w:hAnsiTheme="minorHAnsi" w:cs="Arial"/>
        </w:rPr>
        <w:t>s</w:t>
      </w:r>
      <w:r w:rsidRPr="00324D9E">
        <w:rPr>
          <w:rFonts w:asciiTheme="minorHAnsi" w:hAnsiTheme="minorHAnsi" w:cs="Arial"/>
        </w:rPr>
        <w:t>).</w:t>
      </w:r>
    </w:p>
    <w:p w:rsidR="00124759" w:rsidRPr="00324D9E" w:rsidRDefault="00124759" w:rsidP="00124759">
      <w:pPr>
        <w:pStyle w:val="ListParagraph"/>
        <w:numPr>
          <w:ilvl w:val="0"/>
          <w:numId w:val="4"/>
        </w:numPr>
        <w:rPr>
          <w:rFonts w:asciiTheme="minorHAnsi" w:hAnsiTheme="minorHAnsi" w:cs="Arial"/>
        </w:rPr>
      </w:pPr>
      <w:r w:rsidRPr="00324D9E">
        <w:rPr>
          <w:rFonts w:asciiTheme="minorHAnsi" w:hAnsiTheme="minorHAnsi" w:cs="Arial"/>
        </w:rPr>
        <w:t>Treating Aspen</w:t>
      </w:r>
      <w:r w:rsidR="00E43E26" w:rsidRPr="00324D9E">
        <w:rPr>
          <w:rFonts w:asciiTheme="minorHAnsi" w:hAnsiTheme="minorHAnsi" w:cs="Arial"/>
        </w:rPr>
        <w:t xml:space="preserve"> as problem vegetation</w:t>
      </w:r>
      <w:r w:rsidRPr="00324D9E">
        <w:rPr>
          <w:rFonts w:asciiTheme="minorHAnsi" w:hAnsiTheme="minorHAnsi" w:cs="Arial"/>
        </w:rPr>
        <w:t xml:space="preserve"> makes up a sma</w:t>
      </w:r>
      <w:r w:rsidR="00E43E26" w:rsidRPr="00324D9E">
        <w:rPr>
          <w:rFonts w:asciiTheme="minorHAnsi" w:hAnsiTheme="minorHAnsi" w:cs="Arial"/>
        </w:rPr>
        <w:t>ll portion of what gets treated and is usually done selectively (only patches of +/-1 hectare or greater).  A</w:t>
      </w:r>
      <w:r w:rsidRPr="00324D9E">
        <w:rPr>
          <w:rFonts w:asciiTheme="minorHAnsi" w:hAnsiTheme="minorHAnsi" w:cs="Arial"/>
        </w:rPr>
        <w:t xml:space="preserve">s harvesting moves further away from town and into pure </w:t>
      </w:r>
      <w:r w:rsidR="00E43E26" w:rsidRPr="00324D9E">
        <w:rPr>
          <w:rFonts w:asciiTheme="minorHAnsi" w:hAnsiTheme="minorHAnsi" w:cs="Arial"/>
        </w:rPr>
        <w:t>S</w:t>
      </w:r>
      <w:r w:rsidRPr="00324D9E">
        <w:rPr>
          <w:rFonts w:asciiTheme="minorHAnsi" w:hAnsiTheme="minorHAnsi" w:cs="Arial"/>
        </w:rPr>
        <w:t>pru</w:t>
      </w:r>
      <w:r w:rsidR="00E43E26" w:rsidRPr="00324D9E">
        <w:rPr>
          <w:rFonts w:asciiTheme="minorHAnsi" w:hAnsiTheme="minorHAnsi" w:cs="Arial"/>
        </w:rPr>
        <w:t>ce/Balsa</w:t>
      </w:r>
      <w:r w:rsidRPr="00324D9E">
        <w:rPr>
          <w:rFonts w:asciiTheme="minorHAnsi" w:hAnsiTheme="minorHAnsi" w:cs="Arial"/>
        </w:rPr>
        <w:t>m stands the target</w:t>
      </w:r>
      <w:r w:rsidR="00E43E26" w:rsidRPr="00324D9E">
        <w:rPr>
          <w:rFonts w:asciiTheme="minorHAnsi" w:hAnsiTheme="minorHAnsi" w:cs="Arial"/>
        </w:rPr>
        <w:t xml:space="preserve"> vegetation that needs to be treated</w:t>
      </w:r>
      <w:r w:rsidRPr="00324D9E">
        <w:rPr>
          <w:rFonts w:asciiTheme="minorHAnsi" w:hAnsiTheme="minorHAnsi" w:cs="Arial"/>
        </w:rPr>
        <w:t xml:space="preserve"> is </w:t>
      </w:r>
      <w:r w:rsidR="00E43E26" w:rsidRPr="00324D9E">
        <w:rPr>
          <w:rFonts w:asciiTheme="minorHAnsi" w:hAnsiTheme="minorHAnsi" w:cs="Arial"/>
        </w:rPr>
        <w:t xml:space="preserve">severe </w:t>
      </w:r>
      <w:r w:rsidRPr="00324D9E">
        <w:rPr>
          <w:rFonts w:asciiTheme="minorHAnsi" w:hAnsiTheme="minorHAnsi" w:cs="Arial"/>
        </w:rPr>
        <w:t>herbaceous competition</w:t>
      </w:r>
      <w:r w:rsidR="00E43E26" w:rsidRPr="00324D9E">
        <w:rPr>
          <w:rFonts w:asciiTheme="minorHAnsi" w:hAnsiTheme="minorHAnsi" w:cs="Arial"/>
        </w:rPr>
        <w:t xml:space="preserve"> which threatens </w:t>
      </w:r>
      <w:r w:rsidR="00A82442" w:rsidRPr="00324D9E">
        <w:rPr>
          <w:rFonts w:asciiTheme="minorHAnsi" w:hAnsiTheme="minorHAnsi" w:cs="Arial"/>
        </w:rPr>
        <w:t>plantation establishment on very good growing sites</w:t>
      </w:r>
      <w:r w:rsidRPr="00324D9E">
        <w:rPr>
          <w:rFonts w:asciiTheme="minorHAnsi" w:hAnsiTheme="minorHAnsi" w:cs="Arial"/>
        </w:rPr>
        <w:t>.</w:t>
      </w:r>
    </w:p>
    <w:p w:rsidR="00124759" w:rsidRPr="00324D9E" w:rsidRDefault="00124759" w:rsidP="00124759">
      <w:pPr>
        <w:pStyle w:val="ListParagraph"/>
        <w:numPr>
          <w:ilvl w:val="0"/>
          <w:numId w:val="4"/>
        </w:numPr>
        <w:rPr>
          <w:rFonts w:asciiTheme="minorHAnsi" w:hAnsiTheme="minorHAnsi" w:cs="Arial"/>
        </w:rPr>
      </w:pPr>
      <w:r w:rsidRPr="00324D9E">
        <w:rPr>
          <w:rFonts w:asciiTheme="minorHAnsi" w:hAnsiTheme="minorHAnsi" w:cs="Arial"/>
        </w:rPr>
        <w:t>These sites are some of the richest sites in the Province. Herbicides allow for the temporary control of vegetation to prev</w:t>
      </w:r>
      <w:r w:rsidR="00A82442" w:rsidRPr="00324D9E">
        <w:rPr>
          <w:rFonts w:asciiTheme="minorHAnsi" w:hAnsiTheme="minorHAnsi" w:cs="Arial"/>
        </w:rPr>
        <w:t>ent damage from aggressive vegetation</w:t>
      </w:r>
      <w:r w:rsidRPr="00324D9E">
        <w:rPr>
          <w:rFonts w:asciiTheme="minorHAnsi" w:hAnsiTheme="minorHAnsi" w:cs="Arial"/>
        </w:rPr>
        <w:t>. Al</w:t>
      </w:r>
      <w:r w:rsidR="00A82442" w:rsidRPr="00324D9E">
        <w:rPr>
          <w:rFonts w:asciiTheme="minorHAnsi" w:hAnsiTheme="minorHAnsi" w:cs="Arial"/>
        </w:rPr>
        <w:t>lowing these sites to become Not Sufficiently Regenerated (NSR)</w:t>
      </w:r>
      <w:r w:rsidRPr="00324D9E">
        <w:rPr>
          <w:rFonts w:asciiTheme="minorHAnsi" w:hAnsiTheme="minorHAnsi" w:cs="Arial"/>
        </w:rPr>
        <w:t xml:space="preserve"> would have </w:t>
      </w:r>
      <w:r w:rsidR="00A82442" w:rsidRPr="00324D9E">
        <w:rPr>
          <w:rFonts w:asciiTheme="minorHAnsi" w:hAnsiTheme="minorHAnsi" w:cs="Arial"/>
        </w:rPr>
        <w:t xml:space="preserve">considerable </w:t>
      </w:r>
      <w:r w:rsidRPr="00324D9E">
        <w:rPr>
          <w:rFonts w:asciiTheme="minorHAnsi" w:hAnsiTheme="minorHAnsi" w:cs="Arial"/>
        </w:rPr>
        <w:t>negative effects on future timber supply.</w:t>
      </w:r>
    </w:p>
    <w:p w:rsidR="00124759" w:rsidRPr="00324D9E" w:rsidRDefault="00124759" w:rsidP="00124759">
      <w:pPr>
        <w:pStyle w:val="NormalJustified"/>
        <w:spacing w:before="0" w:after="0"/>
        <w:ind w:left="720"/>
        <w:jc w:val="left"/>
        <w:rPr>
          <w:rFonts w:asciiTheme="minorHAnsi" w:hAnsiTheme="minorHAnsi" w:cs="Arial"/>
          <w:sz w:val="22"/>
          <w:szCs w:val="20"/>
        </w:rPr>
      </w:pPr>
    </w:p>
    <w:p w:rsidR="00124759" w:rsidRPr="00324D9E" w:rsidRDefault="00124759" w:rsidP="00124759">
      <w:pPr>
        <w:rPr>
          <w:rFonts w:cs="Arial"/>
        </w:rPr>
      </w:pPr>
      <w:r w:rsidRPr="00324D9E">
        <w:rPr>
          <w:rFonts w:cs="Arial"/>
          <w:b/>
          <w:i/>
        </w:rPr>
        <w:t xml:space="preserve">What is the current Inventory in the </w:t>
      </w:r>
      <w:r w:rsidR="00F102C1" w:rsidRPr="00324D9E">
        <w:rPr>
          <w:rFonts w:cs="Arial"/>
          <w:b/>
          <w:i/>
        </w:rPr>
        <w:t>Timber Harvesting Land Base (</w:t>
      </w:r>
      <w:r w:rsidRPr="00324D9E">
        <w:rPr>
          <w:rFonts w:cs="Arial"/>
          <w:b/>
          <w:i/>
        </w:rPr>
        <w:t>THLB</w:t>
      </w:r>
      <w:r w:rsidR="00F102C1" w:rsidRPr="00324D9E">
        <w:rPr>
          <w:rFonts w:cs="Arial"/>
          <w:b/>
          <w:i/>
        </w:rPr>
        <w:t>)</w:t>
      </w:r>
      <w:r w:rsidRPr="00324D9E">
        <w:rPr>
          <w:rFonts w:cs="Arial"/>
          <w:b/>
          <w:i/>
        </w:rPr>
        <w:t xml:space="preserve"> Compared to Free </w:t>
      </w:r>
      <w:proofErr w:type="gramStart"/>
      <w:r w:rsidRPr="00324D9E">
        <w:rPr>
          <w:rFonts w:cs="Arial"/>
          <w:b/>
          <w:i/>
        </w:rPr>
        <w:t>Growing</w:t>
      </w:r>
      <w:proofErr w:type="gramEnd"/>
      <w:r w:rsidR="00F102C1" w:rsidRPr="00324D9E">
        <w:rPr>
          <w:rFonts w:cs="Arial"/>
          <w:b/>
          <w:i/>
        </w:rPr>
        <w:t xml:space="preserve"> once stands are regenerated</w:t>
      </w:r>
      <w:r w:rsidRPr="00324D9E">
        <w:rPr>
          <w:rFonts w:cs="Arial"/>
          <w:b/>
          <w:i/>
        </w:rPr>
        <w:t>?</w:t>
      </w:r>
    </w:p>
    <w:p w:rsidR="00124759" w:rsidRPr="00324D9E" w:rsidRDefault="00124759" w:rsidP="00124759">
      <w:pPr>
        <w:pStyle w:val="NormalJustified"/>
        <w:spacing w:before="0" w:after="0"/>
        <w:jc w:val="left"/>
        <w:rPr>
          <w:rFonts w:asciiTheme="minorHAnsi" w:hAnsiTheme="minorHAnsi" w:cs="Arial"/>
          <w:b/>
          <w:i/>
          <w:sz w:val="22"/>
          <w:szCs w:val="20"/>
        </w:rPr>
      </w:pPr>
    </w:p>
    <w:tbl>
      <w:tblPr>
        <w:tblStyle w:val="GridTable4Accent1"/>
        <w:tblW w:w="10170" w:type="dxa"/>
        <w:tblLook w:val="04A0"/>
      </w:tblPr>
      <w:tblGrid>
        <w:gridCol w:w="3389"/>
        <w:gridCol w:w="3389"/>
        <w:gridCol w:w="3392"/>
      </w:tblGrid>
      <w:tr w:rsidR="00124759" w:rsidRPr="00324D9E" w:rsidTr="007F7C67">
        <w:trPr>
          <w:cnfStyle w:val="100000000000"/>
          <w:trHeight w:val="979"/>
        </w:trPr>
        <w:tc>
          <w:tcPr>
            <w:cnfStyle w:val="001000000000"/>
            <w:tcW w:w="3389" w:type="dxa"/>
          </w:tcPr>
          <w:p w:rsidR="00124759" w:rsidRPr="00324D9E" w:rsidRDefault="00124759" w:rsidP="007F7C67">
            <w:pPr>
              <w:pStyle w:val="NormalJustified"/>
              <w:spacing w:before="0" w:after="0"/>
              <w:jc w:val="left"/>
              <w:rPr>
                <w:rFonts w:asciiTheme="minorHAnsi" w:hAnsiTheme="minorHAnsi" w:cs="Arial"/>
                <w:b w:val="0"/>
                <w:i/>
                <w:sz w:val="22"/>
                <w:szCs w:val="20"/>
              </w:rPr>
            </w:pPr>
            <w:r w:rsidRPr="00324D9E">
              <w:rPr>
                <w:rFonts w:asciiTheme="minorHAnsi" w:hAnsiTheme="minorHAnsi" w:cs="Arial"/>
                <w:b w:val="0"/>
                <w:i/>
                <w:sz w:val="22"/>
                <w:szCs w:val="20"/>
              </w:rPr>
              <w:t>Timber Supply Area</w:t>
            </w:r>
          </w:p>
        </w:tc>
        <w:tc>
          <w:tcPr>
            <w:tcW w:w="3389" w:type="dxa"/>
          </w:tcPr>
          <w:p w:rsidR="00124759" w:rsidRPr="00324D9E" w:rsidRDefault="00124759" w:rsidP="007F7C67">
            <w:pPr>
              <w:pStyle w:val="NormalJustified"/>
              <w:spacing w:before="0" w:after="0"/>
              <w:jc w:val="left"/>
              <w:cnfStyle w:val="100000000000"/>
              <w:rPr>
                <w:rFonts w:asciiTheme="minorHAnsi" w:hAnsiTheme="minorHAnsi" w:cs="Arial"/>
                <w:b w:val="0"/>
                <w:i/>
                <w:sz w:val="22"/>
                <w:szCs w:val="20"/>
              </w:rPr>
            </w:pPr>
            <w:r w:rsidRPr="00324D9E">
              <w:rPr>
                <w:rFonts w:asciiTheme="minorHAnsi" w:hAnsiTheme="minorHAnsi" w:cs="Arial"/>
                <w:b w:val="0"/>
                <w:i/>
                <w:sz w:val="22"/>
                <w:szCs w:val="20"/>
              </w:rPr>
              <w:t>Inventory on THLB</w:t>
            </w:r>
          </w:p>
          <w:p w:rsidR="00124759" w:rsidRPr="00324D9E" w:rsidRDefault="00124759" w:rsidP="007F7C67">
            <w:pPr>
              <w:pStyle w:val="NormalJustified"/>
              <w:spacing w:before="0" w:after="0"/>
              <w:jc w:val="left"/>
              <w:cnfStyle w:val="100000000000"/>
              <w:rPr>
                <w:rFonts w:asciiTheme="minorHAnsi" w:hAnsiTheme="minorHAnsi" w:cs="Arial"/>
                <w:b w:val="0"/>
                <w:i/>
                <w:sz w:val="22"/>
                <w:szCs w:val="20"/>
              </w:rPr>
            </w:pPr>
            <w:r w:rsidRPr="00324D9E">
              <w:rPr>
                <w:rFonts w:asciiTheme="minorHAnsi" w:hAnsiTheme="minorHAnsi" w:cs="Arial"/>
                <w:b w:val="0"/>
                <w:i/>
                <w:sz w:val="22"/>
                <w:szCs w:val="20"/>
              </w:rPr>
              <w:t xml:space="preserve">( TSA Discussion Papers from the Inventory Branch) </w:t>
            </w:r>
          </w:p>
        </w:tc>
        <w:tc>
          <w:tcPr>
            <w:tcW w:w="3392" w:type="dxa"/>
          </w:tcPr>
          <w:p w:rsidR="00124759" w:rsidRPr="00324D9E" w:rsidRDefault="00124759" w:rsidP="007F7C67">
            <w:pPr>
              <w:pStyle w:val="NormalJustified"/>
              <w:spacing w:before="0" w:after="0"/>
              <w:jc w:val="left"/>
              <w:cnfStyle w:val="100000000000"/>
              <w:rPr>
                <w:rFonts w:asciiTheme="minorHAnsi" w:hAnsiTheme="minorHAnsi" w:cs="Arial"/>
                <w:b w:val="0"/>
                <w:i/>
                <w:sz w:val="22"/>
                <w:szCs w:val="20"/>
              </w:rPr>
            </w:pPr>
            <w:r w:rsidRPr="00324D9E">
              <w:rPr>
                <w:rFonts w:asciiTheme="minorHAnsi" w:hAnsiTheme="minorHAnsi" w:cs="Arial"/>
                <w:b w:val="0"/>
                <w:i/>
                <w:sz w:val="22"/>
                <w:szCs w:val="20"/>
              </w:rPr>
              <w:t>Inventory at FG Inventory Branch Data all licensees 5 year rolling average (Inventory Branch data which is provided to the District Managers every year)</w:t>
            </w:r>
          </w:p>
        </w:tc>
      </w:tr>
      <w:tr w:rsidR="00124759" w:rsidRPr="00324D9E" w:rsidTr="007F7C67">
        <w:trPr>
          <w:cnfStyle w:val="000000100000"/>
          <w:trHeight w:val="497"/>
        </w:trPr>
        <w:tc>
          <w:tcPr>
            <w:cnfStyle w:val="001000000000"/>
            <w:tcW w:w="3389" w:type="dxa"/>
          </w:tcPr>
          <w:p w:rsidR="00124759" w:rsidRPr="00324D9E" w:rsidRDefault="00124759" w:rsidP="007F7C67">
            <w:pPr>
              <w:pStyle w:val="NormalJustified"/>
              <w:spacing w:before="0" w:after="0"/>
              <w:jc w:val="left"/>
              <w:rPr>
                <w:rFonts w:asciiTheme="minorHAnsi" w:hAnsiTheme="minorHAnsi" w:cs="Arial"/>
                <w:b w:val="0"/>
                <w:i/>
                <w:sz w:val="22"/>
                <w:szCs w:val="20"/>
              </w:rPr>
            </w:pPr>
            <w:r w:rsidRPr="00324D9E">
              <w:rPr>
                <w:rFonts w:asciiTheme="minorHAnsi" w:hAnsiTheme="minorHAnsi" w:cs="Arial"/>
                <w:b w:val="0"/>
                <w:i/>
                <w:sz w:val="22"/>
                <w:szCs w:val="20"/>
              </w:rPr>
              <w:t>Prince George</w:t>
            </w:r>
          </w:p>
        </w:tc>
        <w:tc>
          <w:tcPr>
            <w:tcW w:w="3389" w:type="dxa"/>
          </w:tcPr>
          <w:p w:rsidR="00124759" w:rsidRPr="00324D9E" w:rsidRDefault="00124759" w:rsidP="007F7C67">
            <w:pPr>
              <w:pStyle w:val="NormalJustified"/>
              <w:spacing w:before="0" w:after="0"/>
              <w:jc w:val="left"/>
              <w:cnfStyle w:val="000000100000"/>
              <w:rPr>
                <w:rFonts w:asciiTheme="minorHAnsi" w:hAnsiTheme="minorHAnsi" w:cs="Arial"/>
                <w:sz w:val="22"/>
                <w:szCs w:val="20"/>
              </w:rPr>
            </w:pPr>
            <w:r w:rsidRPr="00324D9E">
              <w:rPr>
                <w:rFonts w:asciiTheme="minorHAnsi" w:hAnsiTheme="minorHAnsi" w:cs="Arial"/>
                <w:sz w:val="22"/>
                <w:szCs w:val="20"/>
              </w:rPr>
              <w:t>93 % conifer 7 % deciduous</w:t>
            </w:r>
          </w:p>
        </w:tc>
        <w:tc>
          <w:tcPr>
            <w:tcW w:w="3392" w:type="dxa"/>
          </w:tcPr>
          <w:p w:rsidR="00124759" w:rsidRPr="00324D9E" w:rsidRDefault="00124759" w:rsidP="007F7C67">
            <w:pPr>
              <w:pStyle w:val="NormalJustified"/>
              <w:spacing w:before="0" w:after="0"/>
              <w:jc w:val="left"/>
              <w:cnfStyle w:val="000000100000"/>
              <w:rPr>
                <w:rFonts w:asciiTheme="minorHAnsi" w:hAnsiTheme="minorHAnsi" w:cs="Arial"/>
                <w:sz w:val="22"/>
                <w:szCs w:val="20"/>
              </w:rPr>
            </w:pPr>
            <w:r w:rsidRPr="00324D9E">
              <w:rPr>
                <w:rFonts w:asciiTheme="minorHAnsi" w:hAnsiTheme="minorHAnsi" w:cs="Arial"/>
                <w:sz w:val="22"/>
                <w:szCs w:val="20"/>
              </w:rPr>
              <w:t>90% Conifer 10% deciduous</w:t>
            </w:r>
          </w:p>
        </w:tc>
      </w:tr>
      <w:tr w:rsidR="00124759" w:rsidRPr="00324D9E" w:rsidTr="007F7C67">
        <w:trPr>
          <w:trHeight w:val="482"/>
        </w:trPr>
        <w:tc>
          <w:tcPr>
            <w:cnfStyle w:val="001000000000"/>
            <w:tcW w:w="3389" w:type="dxa"/>
          </w:tcPr>
          <w:p w:rsidR="00124759" w:rsidRPr="00324D9E" w:rsidRDefault="00124759" w:rsidP="007F7C67">
            <w:pPr>
              <w:pStyle w:val="NormalJustified"/>
              <w:spacing w:before="0" w:after="0"/>
              <w:jc w:val="left"/>
              <w:rPr>
                <w:rFonts w:asciiTheme="minorHAnsi" w:hAnsiTheme="minorHAnsi" w:cs="Arial"/>
                <w:b w:val="0"/>
                <w:i/>
                <w:sz w:val="22"/>
                <w:szCs w:val="20"/>
              </w:rPr>
            </w:pPr>
            <w:r w:rsidRPr="00324D9E">
              <w:rPr>
                <w:rFonts w:asciiTheme="minorHAnsi" w:hAnsiTheme="minorHAnsi" w:cs="Arial"/>
                <w:b w:val="0"/>
                <w:i/>
                <w:sz w:val="22"/>
                <w:szCs w:val="20"/>
              </w:rPr>
              <w:t>Mackenzie</w:t>
            </w:r>
            <w:bookmarkStart w:id="0" w:name="_GoBack"/>
            <w:bookmarkEnd w:id="0"/>
          </w:p>
        </w:tc>
        <w:tc>
          <w:tcPr>
            <w:tcW w:w="3389" w:type="dxa"/>
          </w:tcPr>
          <w:p w:rsidR="00124759" w:rsidRPr="00324D9E" w:rsidRDefault="00124759" w:rsidP="007F7C67">
            <w:pPr>
              <w:pStyle w:val="NormalJustified"/>
              <w:spacing w:before="0" w:after="0"/>
              <w:jc w:val="left"/>
              <w:cnfStyle w:val="000000000000"/>
              <w:rPr>
                <w:rFonts w:asciiTheme="minorHAnsi" w:hAnsiTheme="minorHAnsi" w:cs="Arial"/>
                <w:sz w:val="22"/>
                <w:szCs w:val="20"/>
              </w:rPr>
            </w:pPr>
            <w:r w:rsidRPr="00324D9E">
              <w:rPr>
                <w:rFonts w:asciiTheme="minorHAnsi" w:hAnsiTheme="minorHAnsi" w:cs="Arial"/>
                <w:sz w:val="22"/>
                <w:szCs w:val="20"/>
              </w:rPr>
              <w:t>93% conifer 7% deciduous</w:t>
            </w:r>
          </w:p>
        </w:tc>
        <w:tc>
          <w:tcPr>
            <w:tcW w:w="3392" w:type="dxa"/>
          </w:tcPr>
          <w:p w:rsidR="00124759" w:rsidRPr="00324D9E" w:rsidRDefault="00124759" w:rsidP="007F7C67">
            <w:pPr>
              <w:pStyle w:val="NormalJustified"/>
              <w:spacing w:before="0" w:after="0"/>
              <w:jc w:val="left"/>
              <w:cnfStyle w:val="000000000000"/>
              <w:rPr>
                <w:rFonts w:asciiTheme="minorHAnsi" w:hAnsiTheme="minorHAnsi" w:cs="Arial"/>
                <w:sz w:val="22"/>
                <w:szCs w:val="20"/>
              </w:rPr>
            </w:pPr>
            <w:r w:rsidRPr="00324D9E">
              <w:rPr>
                <w:rFonts w:asciiTheme="minorHAnsi" w:hAnsiTheme="minorHAnsi" w:cs="Arial"/>
                <w:sz w:val="22"/>
                <w:szCs w:val="20"/>
              </w:rPr>
              <w:t>88% conifer 12% deciduous</w:t>
            </w:r>
          </w:p>
        </w:tc>
      </w:tr>
      <w:tr w:rsidR="00124759" w:rsidRPr="00324D9E" w:rsidTr="007F7C67">
        <w:trPr>
          <w:cnfStyle w:val="000000100000"/>
          <w:trHeight w:val="482"/>
        </w:trPr>
        <w:tc>
          <w:tcPr>
            <w:cnfStyle w:val="001000000000"/>
            <w:tcW w:w="3389" w:type="dxa"/>
          </w:tcPr>
          <w:p w:rsidR="00124759" w:rsidRPr="00324D9E" w:rsidRDefault="00124759" w:rsidP="007F7C67">
            <w:pPr>
              <w:pStyle w:val="NormalJustified"/>
              <w:spacing w:before="0" w:after="0"/>
              <w:jc w:val="left"/>
              <w:rPr>
                <w:rFonts w:asciiTheme="minorHAnsi" w:hAnsiTheme="minorHAnsi" w:cs="Arial"/>
                <w:b w:val="0"/>
                <w:i/>
                <w:sz w:val="22"/>
                <w:szCs w:val="20"/>
              </w:rPr>
            </w:pPr>
            <w:proofErr w:type="spellStart"/>
            <w:r w:rsidRPr="00324D9E">
              <w:rPr>
                <w:rFonts w:asciiTheme="minorHAnsi" w:hAnsiTheme="minorHAnsi" w:cs="Arial"/>
                <w:b w:val="0"/>
                <w:i/>
                <w:sz w:val="22"/>
                <w:szCs w:val="20"/>
              </w:rPr>
              <w:t>Quesnel</w:t>
            </w:r>
            <w:proofErr w:type="spellEnd"/>
          </w:p>
        </w:tc>
        <w:tc>
          <w:tcPr>
            <w:tcW w:w="3389" w:type="dxa"/>
          </w:tcPr>
          <w:p w:rsidR="00124759" w:rsidRPr="00324D9E" w:rsidRDefault="00124759" w:rsidP="007F7C67">
            <w:pPr>
              <w:pStyle w:val="NormalJustified"/>
              <w:spacing w:before="0" w:after="0"/>
              <w:jc w:val="left"/>
              <w:cnfStyle w:val="000000100000"/>
              <w:rPr>
                <w:rFonts w:asciiTheme="minorHAnsi" w:hAnsiTheme="minorHAnsi" w:cs="Arial"/>
                <w:sz w:val="22"/>
                <w:szCs w:val="20"/>
              </w:rPr>
            </w:pPr>
            <w:r w:rsidRPr="00324D9E">
              <w:rPr>
                <w:rFonts w:asciiTheme="minorHAnsi" w:hAnsiTheme="minorHAnsi" w:cs="Arial"/>
                <w:sz w:val="22"/>
                <w:szCs w:val="20"/>
              </w:rPr>
              <w:t>93% conifer 7% deciduous</w:t>
            </w:r>
          </w:p>
        </w:tc>
        <w:tc>
          <w:tcPr>
            <w:tcW w:w="3392" w:type="dxa"/>
          </w:tcPr>
          <w:p w:rsidR="00124759" w:rsidRPr="00324D9E" w:rsidRDefault="00124759" w:rsidP="007F7C67">
            <w:pPr>
              <w:pStyle w:val="NormalJustified"/>
              <w:spacing w:before="0" w:after="0"/>
              <w:jc w:val="left"/>
              <w:cnfStyle w:val="000000100000"/>
              <w:rPr>
                <w:rFonts w:asciiTheme="minorHAnsi" w:hAnsiTheme="minorHAnsi" w:cs="Arial"/>
                <w:sz w:val="22"/>
                <w:szCs w:val="20"/>
              </w:rPr>
            </w:pPr>
            <w:r w:rsidRPr="00324D9E">
              <w:rPr>
                <w:rFonts w:asciiTheme="minorHAnsi" w:hAnsiTheme="minorHAnsi" w:cs="Arial"/>
                <w:sz w:val="22"/>
                <w:szCs w:val="20"/>
              </w:rPr>
              <w:t>87% conifer 13% deciduous</w:t>
            </w:r>
          </w:p>
        </w:tc>
      </w:tr>
    </w:tbl>
    <w:p w:rsidR="00124759" w:rsidRPr="00324D9E" w:rsidRDefault="00124759" w:rsidP="00124759">
      <w:pPr>
        <w:rPr>
          <w:rFonts w:cs="Arial"/>
        </w:rPr>
      </w:pPr>
    </w:p>
    <w:p w:rsidR="00124759" w:rsidRDefault="00124759" w:rsidP="00124759">
      <w:pPr>
        <w:pStyle w:val="ListParagraph"/>
        <w:rPr>
          <w:rFonts w:asciiTheme="minorHAnsi" w:hAnsiTheme="minorHAnsi" w:cs="Arial"/>
        </w:rPr>
      </w:pPr>
    </w:p>
    <w:p w:rsidR="00324D9E" w:rsidRDefault="00324D9E" w:rsidP="00124759">
      <w:pPr>
        <w:pStyle w:val="ListParagraph"/>
        <w:rPr>
          <w:rFonts w:asciiTheme="minorHAnsi" w:hAnsiTheme="minorHAnsi" w:cs="Arial"/>
        </w:rPr>
      </w:pPr>
    </w:p>
    <w:p w:rsidR="00324D9E" w:rsidRDefault="00324D9E" w:rsidP="00124759">
      <w:pPr>
        <w:pStyle w:val="ListParagraph"/>
        <w:rPr>
          <w:rFonts w:asciiTheme="minorHAnsi" w:hAnsiTheme="minorHAnsi" w:cs="Arial"/>
        </w:rPr>
      </w:pPr>
    </w:p>
    <w:p w:rsidR="00324D9E" w:rsidRDefault="00324D9E" w:rsidP="00124759">
      <w:pPr>
        <w:pStyle w:val="ListParagraph"/>
        <w:rPr>
          <w:rFonts w:asciiTheme="minorHAnsi" w:hAnsiTheme="minorHAnsi" w:cs="Arial"/>
        </w:rPr>
      </w:pPr>
    </w:p>
    <w:p w:rsidR="00324D9E" w:rsidRPr="00324D9E" w:rsidRDefault="00324D9E" w:rsidP="00124759">
      <w:pPr>
        <w:pStyle w:val="ListParagraph"/>
        <w:rPr>
          <w:rFonts w:asciiTheme="minorHAnsi" w:hAnsiTheme="minorHAnsi" w:cs="Arial"/>
        </w:rPr>
      </w:pPr>
    </w:p>
    <w:p w:rsidR="00124759" w:rsidRPr="00324D9E" w:rsidRDefault="00A54EA8" w:rsidP="00380153">
      <w:pPr>
        <w:rPr>
          <w:rFonts w:cs="Arial"/>
          <w:b/>
          <w:i/>
        </w:rPr>
      </w:pPr>
      <w:r w:rsidRPr="00324D9E">
        <w:rPr>
          <w:rFonts w:cs="Arial"/>
          <w:b/>
          <w:i/>
        </w:rPr>
        <w:t>FLNRO</w:t>
      </w:r>
      <w:r w:rsidR="00124759" w:rsidRPr="00324D9E">
        <w:rPr>
          <w:rFonts w:cs="Arial"/>
          <w:b/>
          <w:i/>
        </w:rPr>
        <w:t>’s current moose research in central BC</w:t>
      </w:r>
      <w:r w:rsidR="00324D9E">
        <w:rPr>
          <w:rFonts w:cs="Arial"/>
          <w:b/>
          <w:i/>
        </w:rPr>
        <w:t xml:space="preserve"> facts</w:t>
      </w:r>
      <w:r w:rsidR="00124759" w:rsidRPr="00324D9E">
        <w:rPr>
          <w:rFonts w:cs="Arial"/>
          <w:b/>
          <w:i/>
        </w:rPr>
        <w:t>.</w:t>
      </w:r>
    </w:p>
    <w:p w:rsidR="00124759" w:rsidRPr="00324D9E" w:rsidRDefault="00124759" w:rsidP="00124759">
      <w:pPr>
        <w:pStyle w:val="NormalJustified"/>
        <w:numPr>
          <w:ilvl w:val="0"/>
          <w:numId w:val="5"/>
        </w:numPr>
        <w:spacing w:before="0" w:after="0"/>
        <w:jc w:val="left"/>
        <w:rPr>
          <w:rFonts w:asciiTheme="minorHAnsi" w:hAnsiTheme="minorHAnsi" w:cs="Arial"/>
          <w:b/>
          <w:i/>
          <w:sz w:val="22"/>
          <w:szCs w:val="20"/>
        </w:rPr>
      </w:pPr>
      <w:r w:rsidRPr="00324D9E">
        <w:rPr>
          <w:rFonts w:asciiTheme="minorHAnsi" w:hAnsiTheme="minorHAnsi" w:cs="Arial"/>
          <w:noProof/>
          <w:sz w:val="22"/>
          <w:szCs w:val="22"/>
        </w:rPr>
        <w:t xml:space="preserve">survival rate varied between 86% and 100% annually from 2012 to 2017. </w:t>
      </w:r>
    </w:p>
    <w:p w:rsidR="00124759" w:rsidRPr="00324D9E" w:rsidRDefault="00124759" w:rsidP="00124759">
      <w:pPr>
        <w:pStyle w:val="NormalJustified"/>
        <w:numPr>
          <w:ilvl w:val="0"/>
          <w:numId w:val="5"/>
        </w:numPr>
        <w:spacing w:before="0" w:after="0"/>
        <w:jc w:val="left"/>
        <w:rPr>
          <w:rFonts w:asciiTheme="minorHAnsi" w:hAnsiTheme="minorHAnsi" w:cs="Arial"/>
          <w:b/>
          <w:i/>
          <w:sz w:val="22"/>
          <w:szCs w:val="20"/>
        </w:rPr>
      </w:pPr>
      <w:r w:rsidRPr="00324D9E">
        <w:rPr>
          <w:rFonts w:asciiTheme="minorHAnsi" w:hAnsiTheme="minorHAnsi" w:cs="Arial"/>
          <w:noProof/>
          <w:sz w:val="22"/>
          <w:szCs w:val="22"/>
        </w:rPr>
        <w:t xml:space="preserve">Aproximately half of mortalities in the study were due to predation, </w:t>
      </w:r>
    </w:p>
    <w:p w:rsidR="00124759" w:rsidRPr="00324D9E" w:rsidRDefault="00124759" w:rsidP="00124759">
      <w:pPr>
        <w:pStyle w:val="NormalJustified"/>
        <w:numPr>
          <w:ilvl w:val="0"/>
          <w:numId w:val="5"/>
        </w:numPr>
        <w:spacing w:before="0" w:after="0"/>
        <w:jc w:val="left"/>
        <w:rPr>
          <w:rFonts w:asciiTheme="minorHAnsi" w:hAnsiTheme="minorHAnsi" w:cs="Arial"/>
          <w:b/>
          <w:i/>
          <w:sz w:val="22"/>
          <w:szCs w:val="20"/>
        </w:rPr>
      </w:pPr>
      <w:r w:rsidRPr="00324D9E">
        <w:rPr>
          <w:rFonts w:asciiTheme="minorHAnsi" w:hAnsiTheme="minorHAnsi" w:cs="Arial"/>
          <w:noProof/>
          <w:sz w:val="22"/>
          <w:szCs w:val="22"/>
        </w:rPr>
        <w:t xml:space="preserve">the other half were due to a variety of factors including health, hunting and accidents. </w:t>
      </w:r>
    </w:p>
    <w:p w:rsidR="00EB3D53" w:rsidRPr="00324D9E" w:rsidRDefault="00124759" w:rsidP="00324D9E">
      <w:pPr>
        <w:pStyle w:val="NormalJustified"/>
        <w:numPr>
          <w:ilvl w:val="0"/>
          <w:numId w:val="5"/>
        </w:numPr>
        <w:spacing w:before="0" w:after="0"/>
        <w:jc w:val="left"/>
        <w:rPr>
          <w:rFonts w:asciiTheme="minorHAnsi" w:hAnsiTheme="minorHAnsi" w:cs="Arial"/>
          <w:b/>
          <w:i/>
          <w:sz w:val="22"/>
          <w:szCs w:val="20"/>
        </w:rPr>
      </w:pPr>
      <w:r w:rsidRPr="00324D9E">
        <w:rPr>
          <w:rFonts w:asciiTheme="minorHAnsi" w:hAnsiTheme="minorHAnsi" w:cs="Arial"/>
          <w:noProof/>
          <w:sz w:val="22"/>
          <w:szCs w:val="22"/>
        </w:rPr>
        <w:t>The 11% attributed to ‘</w:t>
      </w:r>
      <w:r w:rsidRPr="00324D9E">
        <w:rPr>
          <w:rFonts w:asciiTheme="minorHAnsi" w:hAnsiTheme="minorHAnsi" w:cs="Arial"/>
          <w:b/>
          <w:noProof/>
          <w:sz w:val="22"/>
          <w:szCs w:val="22"/>
        </w:rPr>
        <w:t>apparent starvation</w:t>
      </w:r>
      <w:r w:rsidRPr="00324D9E">
        <w:rPr>
          <w:rFonts w:asciiTheme="minorHAnsi" w:hAnsiTheme="minorHAnsi" w:cs="Arial"/>
          <w:noProof/>
          <w:sz w:val="22"/>
          <w:szCs w:val="22"/>
        </w:rPr>
        <w:t xml:space="preserve">’ are currently being investigated by the provincial veterinarian since other factors, such as tooth wear and decay, parasites and disease, can cause emaciation and </w:t>
      </w:r>
      <w:r w:rsidRPr="00324D9E">
        <w:rPr>
          <w:rFonts w:asciiTheme="minorHAnsi" w:hAnsiTheme="minorHAnsi" w:cs="Arial"/>
          <w:b/>
          <w:noProof/>
          <w:sz w:val="22"/>
          <w:szCs w:val="22"/>
        </w:rPr>
        <w:t>apparent starvation</w:t>
      </w:r>
      <w:r w:rsidRPr="00324D9E">
        <w:rPr>
          <w:rFonts w:asciiTheme="minorHAnsi" w:hAnsiTheme="minorHAnsi" w:cs="Arial"/>
          <w:noProof/>
          <w:sz w:val="22"/>
          <w:szCs w:val="22"/>
        </w:rPr>
        <w:t>.</w:t>
      </w:r>
    </w:p>
    <w:p w:rsidR="00EB3D53" w:rsidRPr="00324D9E" w:rsidRDefault="00EB3D53" w:rsidP="0050108D">
      <w:pPr>
        <w:pStyle w:val="m1926587284794640225msonormalindent"/>
        <w:shd w:val="clear" w:color="auto" w:fill="FFFFFF"/>
        <w:spacing w:before="120" w:beforeAutospacing="0" w:after="120" w:afterAutospacing="0" w:line="253" w:lineRule="atLeast"/>
        <w:rPr>
          <w:rFonts w:asciiTheme="minorHAnsi" w:hAnsiTheme="minorHAnsi" w:cs="Arial"/>
          <w:b/>
          <w:bCs/>
          <w:color w:val="222222"/>
          <w:spacing w:val="4"/>
          <w:sz w:val="22"/>
          <w:szCs w:val="22"/>
        </w:rPr>
      </w:pPr>
    </w:p>
    <w:p w:rsidR="00A2352C" w:rsidRDefault="00A2352C" w:rsidP="00380153">
      <w:pPr>
        <w:pStyle w:val="NormalJustified"/>
        <w:spacing w:before="0" w:after="0"/>
        <w:jc w:val="left"/>
        <w:rPr>
          <w:rFonts w:asciiTheme="minorHAnsi" w:hAnsiTheme="minorHAnsi" w:cs="Arial"/>
          <w:b/>
          <w:i/>
          <w:sz w:val="22"/>
          <w:szCs w:val="20"/>
        </w:rPr>
      </w:pPr>
      <w:proofErr w:type="gramStart"/>
      <w:r>
        <w:rPr>
          <w:rFonts w:asciiTheme="minorHAnsi" w:hAnsiTheme="minorHAnsi" w:cs="Arial"/>
          <w:b/>
          <w:i/>
          <w:sz w:val="22"/>
          <w:szCs w:val="20"/>
        </w:rPr>
        <w:t xml:space="preserve">Some </w:t>
      </w:r>
      <w:proofErr w:type="spellStart"/>
      <w:r>
        <w:rPr>
          <w:rFonts w:asciiTheme="minorHAnsi" w:hAnsiTheme="minorHAnsi" w:cs="Arial"/>
          <w:b/>
          <w:i/>
          <w:sz w:val="22"/>
          <w:szCs w:val="20"/>
        </w:rPr>
        <w:t>Glyphosate</w:t>
      </w:r>
      <w:proofErr w:type="spellEnd"/>
      <w:r>
        <w:rPr>
          <w:rFonts w:asciiTheme="minorHAnsi" w:hAnsiTheme="minorHAnsi" w:cs="Arial"/>
          <w:b/>
          <w:i/>
          <w:sz w:val="22"/>
          <w:szCs w:val="20"/>
        </w:rPr>
        <w:t xml:space="preserve"> facts to </w:t>
      </w:r>
      <w:r w:rsidR="00F2358E">
        <w:rPr>
          <w:rFonts w:asciiTheme="minorHAnsi" w:hAnsiTheme="minorHAnsi" w:cs="Arial"/>
          <w:b/>
          <w:i/>
          <w:sz w:val="22"/>
          <w:szCs w:val="20"/>
        </w:rPr>
        <w:t xml:space="preserve">help </w:t>
      </w:r>
      <w:r>
        <w:rPr>
          <w:rFonts w:asciiTheme="minorHAnsi" w:hAnsiTheme="minorHAnsi" w:cs="Arial"/>
          <w:b/>
          <w:i/>
          <w:sz w:val="22"/>
          <w:szCs w:val="20"/>
        </w:rPr>
        <w:t>clarify</w:t>
      </w:r>
      <w:r w:rsidR="00F2358E">
        <w:rPr>
          <w:rFonts w:asciiTheme="minorHAnsi" w:hAnsiTheme="minorHAnsi" w:cs="Arial"/>
          <w:b/>
          <w:i/>
          <w:sz w:val="22"/>
          <w:szCs w:val="20"/>
        </w:rPr>
        <w:t>.</w:t>
      </w:r>
      <w:proofErr w:type="gramEnd"/>
    </w:p>
    <w:p w:rsidR="00D244BF" w:rsidRPr="00D244BF" w:rsidRDefault="00D244BF" w:rsidP="00380153">
      <w:pPr>
        <w:pStyle w:val="NormalJustified"/>
        <w:spacing w:before="0" w:after="0"/>
        <w:jc w:val="left"/>
        <w:rPr>
          <w:rFonts w:asciiTheme="minorHAnsi" w:hAnsiTheme="minorHAnsi" w:cs="Arial"/>
          <w:sz w:val="22"/>
          <w:szCs w:val="20"/>
        </w:rPr>
      </w:pPr>
    </w:p>
    <w:p w:rsidR="00D244BF" w:rsidRDefault="00A2352C" w:rsidP="00D244BF">
      <w:pPr>
        <w:pStyle w:val="NormalJustified"/>
        <w:numPr>
          <w:ilvl w:val="0"/>
          <w:numId w:val="5"/>
        </w:numPr>
        <w:spacing w:before="0" w:after="0"/>
        <w:jc w:val="left"/>
        <w:rPr>
          <w:rFonts w:asciiTheme="minorHAnsi" w:hAnsiTheme="minorHAnsi" w:cs="Arial"/>
          <w:noProof/>
          <w:sz w:val="22"/>
          <w:szCs w:val="22"/>
        </w:rPr>
      </w:pPr>
      <w:r w:rsidRPr="00D244BF">
        <w:rPr>
          <w:rFonts w:asciiTheme="minorHAnsi" w:hAnsiTheme="minorHAnsi" w:cs="Arial"/>
          <w:noProof/>
          <w:sz w:val="22"/>
          <w:szCs w:val="22"/>
        </w:rPr>
        <w:t xml:space="preserve">IIARC Rating as “probable human carcinogen” – rating based on hazard (the potential to cause harm) rather than risk(takes into account extend and route of exposure).  </w:t>
      </w:r>
    </w:p>
    <w:p w:rsidR="00A2352C" w:rsidRDefault="00A2352C" w:rsidP="00D244BF">
      <w:pPr>
        <w:pStyle w:val="NormalJustified"/>
        <w:numPr>
          <w:ilvl w:val="0"/>
          <w:numId w:val="5"/>
        </w:numPr>
        <w:spacing w:before="0" w:after="0"/>
        <w:jc w:val="left"/>
        <w:rPr>
          <w:rFonts w:asciiTheme="minorHAnsi" w:hAnsiTheme="minorHAnsi" w:cs="Arial"/>
          <w:noProof/>
          <w:sz w:val="22"/>
          <w:szCs w:val="22"/>
        </w:rPr>
      </w:pPr>
      <w:r w:rsidRPr="00D244BF">
        <w:rPr>
          <w:rFonts w:asciiTheme="minorHAnsi" w:hAnsiTheme="minorHAnsi" w:cs="Arial"/>
          <w:noProof/>
          <w:sz w:val="22"/>
          <w:szCs w:val="22"/>
        </w:rPr>
        <w:t>Studies had serious methodological flaws and were greatly outnumbered by studies that showed no effects.</w:t>
      </w:r>
    </w:p>
    <w:p w:rsidR="00D244BF" w:rsidRPr="00D244BF" w:rsidRDefault="00D244BF" w:rsidP="00D244BF">
      <w:pPr>
        <w:pStyle w:val="NormalJustified"/>
        <w:numPr>
          <w:ilvl w:val="0"/>
          <w:numId w:val="5"/>
        </w:numPr>
        <w:spacing w:before="0" w:after="0"/>
        <w:jc w:val="left"/>
        <w:rPr>
          <w:rFonts w:asciiTheme="minorHAnsi" w:hAnsiTheme="minorHAnsi" w:cs="Arial"/>
          <w:noProof/>
          <w:sz w:val="22"/>
          <w:szCs w:val="22"/>
        </w:rPr>
      </w:pPr>
      <w:r>
        <w:rPr>
          <w:rFonts w:asciiTheme="minorHAnsi" w:hAnsiTheme="minorHAnsi" w:cs="Arial"/>
          <w:noProof/>
          <w:sz w:val="22"/>
          <w:szCs w:val="22"/>
        </w:rPr>
        <w:t>The Iarc rating also includes as probable carcinogens red meat, wood fires, emissions from frying food, shift</w:t>
      </w:r>
      <w:r w:rsidR="005920B9">
        <w:rPr>
          <w:rFonts w:asciiTheme="minorHAnsi" w:hAnsiTheme="minorHAnsi" w:cs="Arial"/>
          <w:noProof/>
          <w:sz w:val="22"/>
          <w:szCs w:val="22"/>
        </w:rPr>
        <w:t xml:space="preserve"> work, drinking hot beverages (&gt;</w:t>
      </w:r>
      <w:r>
        <w:rPr>
          <w:rFonts w:asciiTheme="minorHAnsi" w:hAnsiTheme="minorHAnsi" w:cs="Arial"/>
          <w:noProof/>
          <w:sz w:val="22"/>
          <w:szCs w:val="22"/>
        </w:rPr>
        <w:t>65 degrees) and hair dressing</w:t>
      </w:r>
    </w:p>
    <w:p w:rsidR="00A2352C" w:rsidRPr="00D244BF" w:rsidRDefault="00A2352C" w:rsidP="00D244BF">
      <w:pPr>
        <w:pStyle w:val="NormalJustified"/>
        <w:numPr>
          <w:ilvl w:val="0"/>
          <w:numId w:val="5"/>
        </w:numPr>
        <w:spacing w:before="0" w:after="0"/>
        <w:jc w:val="left"/>
        <w:rPr>
          <w:rFonts w:asciiTheme="minorHAnsi" w:hAnsiTheme="minorHAnsi" w:cs="Arial"/>
          <w:noProof/>
          <w:sz w:val="22"/>
          <w:szCs w:val="22"/>
        </w:rPr>
      </w:pPr>
      <w:r w:rsidRPr="00D244BF">
        <w:rPr>
          <w:rFonts w:asciiTheme="minorHAnsi" w:hAnsiTheme="minorHAnsi" w:cs="Arial"/>
          <w:noProof/>
          <w:sz w:val="22"/>
          <w:szCs w:val="22"/>
        </w:rPr>
        <w:t>European Chemical Agency</w:t>
      </w:r>
      <w:r w:rsidR="00D244BF">
        <w:rPr>
          <w:rFonts w:asciiTheme="minorHAnsi" w:hAnsiTheme="minorHAnsi" w:cs="Arial"/>
          <w:noProof/>
          <w:sz w:val="22"/>
          <w:szCs w:val="22"/>
        </w:rPr>
        <w:t>’s</w:t>
      </w:r>
      <w:r w:rsidRPr="00D244BF">
        <w:rPr>
          <w:rFonts w:asciiTheme="minorHAnsi" w:hAnsiTheme="minorHAnsi" w:cs="Arial"/>
          <w:noProof/>
          <w:sz w:val="22"/>
          <w:szCs w:val="22"/>
        </w:rPr>
        <w:t xml:space="preserve"> (ECHA)</w:t>
      </w:r>
      <w:r w:rsidR="0008065D" w:rsidRPr="00D244BF">
        <w:rPr>
          <w:rFonts w:asciiTheme="minorHAnsi" w:hAnsiTheme="minorHAnsi" w:cs="Arial"/>
          <w:noProof/>
          <w:sz w:val="22"/>
          <w:szCs w:val="22"/>
        </w:rPr>
        <w:t xml:space="preserve"> independent analysis determined that evidence used in IARC doesn’t meet criteria for carcinogenic classification.</w:t>
      </w:r>
    </w:p>
    <w:p w:rsidR="00D244BF" w:rsidRPr="00D244BF" w:rsidRDefault="00D244BF" w:rsidP="00D244BF">
      <w:pPr>
        <w:pStyle w:val="NormalJustified"/>
        <w:numPr>
          <w:ilvl w:val="0"/>
          <w:numId w:val="5"/>
        </w:numPr>
        <w:spacing w:before="0" w:after="0"/>
        <w:jc w:val="left"/>
        <w:rPr>
          <w:rFonts w:asciiTheme="minorHAnsi" w:hAnsiTheme="minorHAnsi" w:cs="Arial"/>
          <w:noProof/>
          <w:sz w:val="22"/>
          <w:szCs w:val="22"/>
        </w:rPr>
      </w:pPr>
      <w:r w:rsidRPr="00D244BF">
        <w:rPr>
          <w:rFonts w:asciiTheme="minorHAnsi" w:hAnsiTheme="minorHAnsi" w:cs="Arial"/>
          <w:noProof/>
          <w:sz w:val="22"/>
          <w:szCs w:val="22"/>
        </w:rPr>
        <w:t>USEPA, European Food Safety Association and PMRA focus their determination on Risk not Hazard and all have concluded the Glyphosate does not pose a cancer risk to humans.</w:t>
      </w:r>
    </w:p>
    <w:p w:rsidR="00A2352C" w:rsidRPr="00D244BF" w:rsidRDefault="0030787B" w:rsidP="00D244BF">
      <w:pPr>
        <w:pStyle w:val="NormalJustified"/>
        <w:numPr>
          <w:ilvl w:val="0"/>
          <w:numId w:val="5"/>
        </w:numPr>
        <w:spacing w:before="0" w:after="0"/>
        <w:jc w:val="left"/>
        <w:rPr>
          <w:rFonts w:asciiTheme="minorHAnsi" w:hAnsiTheme="minorHAnsi" w:cs="Arial"/>
          <w:noProof/>
          <w:sz w:val="22"/>
          <w:szCs w:val="22"/>
        </w:rPr>
      </w:pPr>
      <w:r>
        <w:rPr>
          <w:rFonts w:asciiTheme="minorHAnsi" w:hAnsiTheme="minorHAnsi" w:cs="Arial"/>
          <w:noProof/>
          <w:sz w:val="22"/>
          <w:szCs w:val="22"/>
        </w:rPr>
        <w:t>In 2018 Health Canada (PMRA) conducted a review of its 2017 re-evaluation of glyphosate after objections were raised by environmental groups.  In Jan 2019 the results were released.</w:t>
      </w:r>
      <w:r w:rsidR="00F2358E">
        <w:rPr>
          <w:rFonts w:asciiTheme="minorHAnsi" w:hAnsiTheme="minorHAnsi" w:cs="Arial"/>
          <w:noProof/>
          <w:sz w:val="22"/>
          <w:szCs w:val="22"/>
        </w:rPr>
        <w:t xml:space="preserve"> They concluded that ‘the objections raised did not create doubt or concern regarding the scientific basis for the 2017 re-evaluation decision for Glyphosate”.  Also – “no pesticide regulatory authority in the world considers glyphosate to be a cancer risk to humans at the levels at which humans are currently exposed”.</w:t>
      </w:r>
      <w:r>
        <w:rPr>
          <w:rFonts w:asciiTheme="minorHAnsi" w:hAnsiTheme="minorHAnsi" w:cs="Arial"/>
          <w:noProof/>
          <w:sz w:val="22"/>
          <w:szCs w:val="22"/>
        </w:rPr>
        <w:t xml:space="preserve"> </w:t>
      </w:r>
    </w:p>
    <w:p w:rsidR="00A2352C" w:rsidRDefault="00A2352C" w:rsidP="00380153">
      <w:pPr>
        <w:pStyle w:val="NormalJustified"/>
        <w:spacing w:before="0" w:after="0"/>
        <w:jc w:val="left"/>
        <w:rPr>
          <w:rFonts w:asciiTheme="minorHAnsi" w:hAnsiTheme="minorHAnsi" w:cs="Arial"/>
          <w:b/>
          <w:i/>
          <w:sz w:val="22"/>
          <w:szCs w:val="20"/>
        </w:rPr>
      </w:pPr>
    </w:p>
    <w:p w:rsidR="0050108D" w:rsidRPr="00380153" w:rsidRDefault="0050108D" w:rsidP="00380153">
      <w:pPr>
        <w:pStyle w:val="NormalJustified"/>
        <w:spacing w:before="0" w:after="0"/>
        <w:jc w:val="left"/>
        <w:rPr>
          <w:rFonts w:asciiTheme="minorHAnsi" w:hAnsiTheme="minorHAnsi" w:cs="Arial"/>
          <w:b/>
          <w:i/>
          <w:sz w:val="22"/>
          <w:szCs w:val="20"/>
        </w:rPr>
      </w:pPr>
      <w:r w:rsidRPr="00380153">
        <w:rPr>
          <w:rFonts w:asciiTheme="minorHAnsi" w:hAnsiTheme="minorHAnsi" w:cs="Arial"/>
          <w:b/>
          <w:i/>
          <w:sz w:val="22"/>
          <w:szCs w:val="20"/>
        </w:rPr>
        <w:t xml:space="preserve">Proposed Alternatives to a </w:t>
      </w:r>
      <w:proofErr w:type="spellStart"/>
      <w:r w:rsidRPr="00380153">
        <w:rPr>
          <w:rFonts w:asciiTheme="minorHAnsi" w:hAnsiTheme="minorHAnsi" w:cs="Arial"/>
          <w:b/>
          <w:i/>
          <w:sz w:val="22"/>
          <w:szCs w:val="20"/>
        </w:rPr>
        <w:t>Glyphosate</w:t>
      </w:r>
      <w:proofErr w:type="spellEnd"/>
      <w:r w:rsidRPr="00380153">
        <w:rPr>
          <w:rFonts w:asciiTheme="minorHAnsi" w:hAnsiTheme="minorHAnsi" w:cs="Arial"/>
          <w:b/>
          <w:i/>
          <w:sz w:val="22"/>
          <w:szCs w:val="20"/>
        </w:rPr>
        <w:t xml:space="preserve"> ban:</w:t>
      </w:r>
    </w:p>
    <w:p w:rsidR="00380153" w:rsidRDefault="00380153" w:rsidP="00380153">
      <w:pPr>
        <w:pStyle w:val="NormalJustified"/>
        <w:spacing w:before="0" w:after="0"/>
        <w:ind w:left="720"/>
        <w:jc w:val="left"/>
        <w:rPr>
          <w:rFonts w:asciiTheme="minorHAnsi" w:hAnsiTheme="minorHAnsi" w:cs="Arial"/>
          <w:sz w:val="22"/>
          <w:szCs w:val="20"/>
        </w:rPr>
      </w:pPr>
    </w:p>
    <w:p w:rsidR="00B15349" w:rsidRDefault="00B15349" w:rsidP="00B15349">
      <w:pPr>
        <w:pStyle w:val="NormalJustified"/>
        <w:numPr>
          <w:ilvl w:val="0"/>
          <w:numId w:val="4"/>
        </w:numPr>
        <w:spacing w:before="0" w:after="0"/>
        <w:jc w:val="left"/>
        <w:rPr>
          <w:rFonts w:asciiTheme="minorHAnsi" w:hAnsiTheme="minorHAnsi" w:cs="Arial"/>
          <w:sz w:val="22"/>
          <w:szCs w:val="20"/>
        </w:rPr>
      </w:pPr>
      <w:r w:rsidRPr="00380153">
        <w:rPr>
          <w:rFonts w:asciiTheme="minorHAnsi" w:hAnsiTheme="minorHAnsi" w:cs="Arial"/>
          <w:sz w:val="22"/>
          <w:szCs w:val="20"/>
        </w:rPr>
        <w:t>Ensure the Government protects certain areas and or habitats which have been proven to be negatively impacted rather than a total ban</w:t>
      </w:r>
      <w:r>
        <w:rPr>
          <w:rFonts w:asciiTheme="minorHAnsi" w:hAnsiTheme="minorHAnsi" w:cs="Arial"/>
          <w:sz w:val="22"/>
          <w:szCs w:val="20"/>
        </w:rPr>
        <w:t xml:space="preserve"> (orders, notices etc – other tools exist</w:t>
      </w:r>
      <w:r w:rsidR="00F2358E">
        <w:rPr>
          <w:rFonts w:asciiTheme="minorHAnsi" w:hAnsiTheme="minorHAnsi" w:cs="Arial"/>
          <w:sz w:val="22"/>
          <w:szCs w:val="20"/>
        </w:rPr>
        <w:t xml:space="preserve"> already!!</w:t>
      </w:r>
      <w:r>
        <w:rPr>
          <w:rFonts w:asciiTheme="minorHAnsi" w:hAnsiTheme="minorHAnsi" w:cs="Arial"/>
          <w:sz w:val="22"/>
          <w:szCs w:val="20"/>
        </w:rPr>
        <w:t>)</w:t>
      </w:r>
    </w:p>
    <w:p w:rsidR="008656BF" w:rsidRPr="00380153" w:rsidRDefault="008656BF" w:rsidP="00B15349">
      <w:pPr>
        <w:pStyle w:val="NormalJustified"/>
        <w:numPr>
          <w:ilvl w:val="0"/>
          <w:numId w:val="4"/>
        </w:numPr>
        <w:spacing w:before="0" w:after="0"/>
        <w:jc w:val="left"/>
        <w:rPr>
          <w:rFonts w:asciiTheme="minorHAnsi" w:hAnsiTheme="minorHAnsi" w:cs="Arial"/>
          <w:sz w:val="22"/>
          <w:szCs w:val="20"/>
        </w:rPr>
      </w:pPr>
      <w:r>
        <w:rPr>
          <w:rFonts w:asciiTheme="minorHAnsi" w:hAnsiTheme="minorHAnsi" w:cs="Arial"/>
          <w:sz w:val="22"/>
          <w:szCs w:val="20"/>
        </w:rPr>
        <w:t>Make the public and user groups (trappers, guides etc) more aware of alternative avenues for communicating concerns when industrial activities are impacting habitat in specific areas of concern</w:t>
      </w:r>
    </w:p>
    <w:p w:rsidR="00B15349" w:rsidRPr="00380153" w:rsidRDefault="00B15349" w:rsidP="00B15349">
      <w:pPr>
        <w:pStyle w:val="NormalJustified"/>
        <w:numPr>
          <w:ilvl w:val="0"/>
          <w:numId w:val="4"/>
        </w:numPr>
        <w:spacing w:before="0" w:after="0"/>
        <w:jc w:val="left"/>
        <w:rPr>
          <w:rFonts w:asciiTheme="minorHAnsi" w:hAnsiTheme="minorHAnsi" w:cs="Arial"/>
          <w:sz w:val="22"/>
          <w:szCs w:val="20"/>
        </w:rPr>
      </w:pPr>
      <w:r>
        <w:rPr>
          <w:rFonts w:asciiTheme="minorHAnsi" w:hAnsiTheme="minorHAnsi" w:cs="Arial"/>
          <w:sz w:val="22"/>
          <w:szCs w:val="20"/>
        </w:rPr>
        <w:t xml:space="preserve">Make </w:t>
      </w:r>
      <w:r w:rsidRPr="00380153">
        <w:rPr>
          <w:rFonts w:asciiTheme="minorHAnsi" w:hAnsiTheme="minorHAnsi" w:cs="Arial"/>
          <w:sz w:val="22"/>
          <w:szCs w:val="20"/>
        </w:rPr>
        <w:t>legislation</w:t>
      </w:r>
      <w:r>
        <w:rPr>
          <w:rFonts w:asciiTheme="minorHAnsi" w:hAnsiTheme="minorHAnsi" w:cs="Arial"/>
          <w:sz w:val="22"/>
          <w:szCs w:val="20"/>
        </w:rPr>
        <w:t xml:space="preserve"> changes if required but only</w:t>
      </w:r>
      <w:r w:rsidRPr="00380153">
        <w:rPr>
          <w:rFonts w:asciiTheme="minorHAnsi" w:hAnsiTheme="minorHAnsi" w:cs="Arial"/>
          <w:sz w:val="22"/>
          <w:szCs w:val="20"/>
        </w:rPr>
        <w:t xml:space="preserve"> to address valid concerns that are scientifically proven</w:t>
      </w:r>
    </w:p>
    <w:p w:rsidR="0050108D" w:rsidRPr="00380153" w:rsidRDefault="008D3FC1" w:rsidP="00380153">
      <w:pPr>
        <w:pStyle w:val="NormalJustified"/>
        <w:numPr>
          <w:ilvl w:val="0"/>
          <w:numId w:val="4"/>
        </w:numPr>
        <w:spacing w:before="0" w:after="0"/>
        <w:jc w:val="left"/>
        <w:rPr>
          <w:rFonts w:asciiTheme="minorHAnsi" w:hAnsiTheme="minorHAnsi" w:cs="Arial"/>
          <w:sz w:val="22"/>
          <w:szCs w:val="20"/>
        </w:rPr>
      </w:pPr>
      <w:r w:rsidRPr="00380153">
        <w:rPr>
          <w:rFonts w:asciiTheme="minorHAnsi" w:hAnsiTheme="minorHAnsi" w:cs="Arial"/>
          <w:sz w:val="22"/>
          <w:szCs w:val="20"/>
        </w:rPr>
        <w:t xml:space="preserve">Verify the facts;  </w:t>
      </w:r>
      <w:r w:rsidR="0050108D" w:rsidRPr="00380153">
        <w:rPr>
          <w:rFonts w:asciiTheme="minorHAnsi" w:hAnsiTheme="minorHAnsi" w:cs="Arial"/>
          <w:sz w:val="22"/>
          <w:szCs w:val="20"/>
        </w:rPr>
        <w:t xml:space="preserve">Request more validation </w:t>
      </w:r>
      <w:r w:rsidR="00380153">
        <w:rPr>
          <w:rFonts w:asciiTheme="minorHAnsi" w:hAnsiTheme="minorHAnsi" w:cs="Arial"/>
          <w:sz w:val="22"/>
          <w:szCs w:val="20"/>
        </w:rPr>
        <w:t>and/</w:t>
      </w:r>
      <w:r w:rsidR="0050108D" w:rsidRPr="00380153">
        <w:rPr>
          <w:rFonts w:asciiTheme="minorHAnsi" w:hAnsiTheme="minorHAnsi" w:cs="Arial"/>
          <w:sz w:val="22"/>
          <w:szCs w:val="20"/>
        </w:rPr>
        <w:t>or studies from Health Canada or any other government agency (MOF – wildfire branch, inventory branch) to alleviate specific concerns that would cause a ban</w:t>
      </w:r>
      <w:r w:rsidRPr="00380153">
        <w:rPr>
          <w:rFonts w:asciiTheme="minorHAnsi" w:hAnsiTheme="minorHAnsi" w:cs="Arial"/>
          <w:sz w:val="22"/>
          <w:szCs w:val="20"/>
        </w:rPr>
        <w:t xml:space="preserve"> to considered or thought of as necessary </w:t>
      </w:r>
    </w:p>
    <w:p w:rsidR="00B15349" w:rsidRDefault="00380153" w:rsidP="00380153">
      <w:pPr>
        <w:pStyle w:val="NormalJustified"/>
        <w:numPr>
          <w:ilvl w:val="0"/>
          <w:numId w:val="4"/>
        </w:numPr>
        <w:spacing w:before="0" w:after="0"/>
        <w:jc w:val="left"/>
        <w:rPr>
          <w:rFonts w:asciiTheme="minorHAnsi" w:hAnsiTheme="minorHAnsi" w:cs="Arial"/>
          <w:sz w:val="22"/>
          <w:szCs w:val="20"/>
        </w:rPr>
      </w:pPr>
      <w:r>
        <w:rPr>
          <w:rFonts w:asciiTheme="minorHAnsi" w:hAnsiTheme="minorHAnsi" w:cs="Arial"/>
          <w:sz w:val="22"/>
          <w:szCs w:val="20"/>
        </w:rPr>
        <w:t>Work on p</w:t>
      </w:r>
      <w:r w:rsidR="0050108D" w:rsidRPr="00380153">
        <w:rPr>
          <w:rFonts w:asciiTheme="minorHAnsi" w:hAnsiTheme="minorHAnsi" w:cs="Arial"/>
          <w:sz w:val="22"/>
          <w:szCs w:val="20"/>
        </w:rPr>
        <w:t>ublic education</w:t>
      </w:r>
      <w:r>
        <w:rPr>
          <w:rFonts w:asciiTheme="minorHAnsi" w:hAnsiTheme="minorHAnsi" w:cs="Arial"/>
          <w:sz w:val="22"/>
          <w:szCs w:val="20"/>
        </w:rPr>
        <w:t xml:space="preserve"> and reach out</w:t>
      </w:r>
      <w:r w:rsidR="0050108D" w:rsidRPr="00380153">
        <w:rPr>
          <w:rFonts w:asciiTheme="minorHAnsi" w:hAnsiTheme="minorHAnsi" w:cs="Arial"/>
          <w:sz w:val="22"/>
          <w:szCs w:val="20"/>
        </w:rPr>
        <w:t xml:space="preserve"> to reduce the misinformation that circulates</w:t>
      </w:r>
      <w:r>
        <w:rPr>
          <w:rFonts w:asciiTheme="minorHAnsi" w:hAnsiTheme="minorHAnsi" w:cs="Arial"/>
          <w:sz w:val="22"/>
          <w:szCs w:val="20"/>
        </w:rPr>
        <w:t xml:space="preserve">. </w:t>
      </w:r>
    </w:p>
    <w:p w:rsidR="0050108D" w:rsidRPr="00380153" w:rsidRDefault="00380153" w:rsidP="00380153">
      <w:pPr>
        <w:pStyle w:val="NormalJustified"/>
        <w:numPr>
          <w:ilvl w:val="0"/>
          <w:numId w:val="4"/>
        </w:numPr>
        <w:spacing w:before="0" w:after="0"/>
        <w:jc w:val="left"/>
        <w:rPr>
          <w:rFonts w:asciiTheme="minorHAnsi" w:hAnsiTheme="minorHAnsi" w:cs="Arial"/>
          <w:sz w:val="22"/>
          <w:szCs w:val="20"/>
        </w:rPr>
      </w:pPr>
      <w:r>
        <w:rPr>
          <w:rFonts w:asciiTheme="minorHAnsi" w:hAnsiTheme="minorHAnsi" w:cs="Arial"/>
          <w:sz w:val="22"/>
          <w:szCs w:val="20"/>
        </w:rPr>
        <w:lastRenderedPageBreak/>
        <w:t>I</w:t>
      </w:r>
      <w:r w:rsidR="0050108D" w:rsidRPr="00380153">
        <w:rPr>
          <w:rFonts w:asciiTheme="minorHAnsi" w:hAnsiTheme="minorHAnsi" w:cs="Arial"/>
          <w:sz w:val="22"/>
          <w:szCs w:val="20"/>
        </w:rPr>
        <w:t>nform the public of the</w:t>
      </w:r>
      <w:r>
        <w:rPr>
          <w:rFonts w:asciiTheme="minorHAnsi" w:hAnsiTheme="minorHAnsi" w:cs="Arial"/>
          <w:sz w:val="22"/>
          <w:szCs w:val="20"/>
        </w:rPr>
        <w:t xml:space="preserve"> multiple benefits of herbicide</w:t>
      </w:r>
      <w:r w:rsidR="0050108D" w:rsidRPr="00380153">
        <w:rPr>
          <w:rFonts w:asciiTheme="minorHAnsi" w:hAnsiTheme="minorHAnsi" w:cs="Arial"/>
          <w:sz w:val="22"/>
          <w:szCs w:val="20"/>
        </w:rPr>
        <w:t xml:space="preserve"> treatments</w:t>
      </w:r>
      <w:r w:rsidR="008656BF">
        <w:rPr>
          <w:rFonts w:asciiTheme="minorHAnsi" w:hAnsiTheme="minorHAnsi" w:cs="Arial"/>
          <w:sz w:val="22"/>
          <w:szCs w:val="20"/>
        </w:rPr>
        <w:t xml:space="preserve"> </w:t>
      </w:r>
      <w:proofErr w:type="spellStart"/>
      <w:r w:rsidR="008656BF">
        <w:rPr>
          <w:rFonts w:asciiTheme="minorHAnsi" w:hAnsiTheme="minorHAnsi" w:cs="Arial"/>
          <w:sz w:val="22"/>
          <w:szCs w:val="20"/>
        </w:rPr>
        <w:t>vs</w:t>
      </w:r>
      <w:proofErr w:type="spellEnd"/>
      <w:r w:rsidR="008656BF">
        <w:rPr>
          <w:rFonts w:asciiTheme="minorHAnsi" w:hAnsiTheme="minorHAnsi" w:cs="Arial"/>
          <w:sz w:val="22"/>
          <w:szCs w:val="20"/>
        </w:rPr>
        <w:t xml:space="preserve"> alternatives</w:t>
      </w:r>
      <w:r w:rsidR="0050108D" w:rsidRPr="00380153">
        <w:rPr>
          <w:rFonts w:asciiTheme="minorHAnsi" w:hAnsiTheme="minorHAnsi" w:cs="Arial"/>
          <w:sz w:val="22"/>
          <w:szCs w:val="20"/>
        </w:rPr>
        <w:t xml:space="preserve"> </w:t>
      </w:r>
      <w:r w:rsidR="00B15349">
        <w:rPr>
          <w:rFonts w:asciiTheme="minorHAnsi" w:hAnsiTheme="minorHAnsi" w:cs="Arial"/>
          <w:sz w:val="22"/>
          <w:szCs w:val="20"/>
        </w:rPr>
        <w:t>and actual use levels/impacts for greater public engagement and understanding</w:t>
      </w:r>
    </w:p>
    <w:p w:rsidR="0050108D" w:rsidRPr="00324D9E" w:rsidRDefault="0050108D" w:rsidP="0050108D">
      <w:pPr>
        <w:pStyle w:val="m1926587284794640225msonormalindent"/>
        <w:shd w:val="clear" w:color="auto" w:fill="FFFFFF"/>
        <w:spacing w:before="120" w:beforeAutospacing="0" w:after="120" w:afterAutospacing="0" w:line="253" w:lineRule="atLeast"/>
        <w:ind w:left="360"/>
        <w:rPr>
          <w:rFonts w:asciiTheme="minorHAnsi" w:hAnsiTheme="minorHAnsi" w:cs="Arial"/>
          <w:color w:val="222222"/>
          <w:spacing w:val="4"/>
          <w:sz w:val="22"/>
          <w:szCs w:val="22"/>
        </w:rPr>
      </w:pPr>
      <w:r w:rsidRPr="00324D9E">
        <w:rPr>
          <w:rFonts w:asciiTheme="minorHAnsi" w:hAnsiTheme="minorHAnsi" w:cs="Arial"/>
          <w:color w:val="222222"/>
          <w:spacing w:val="4"/>
          <w:sz w:val="22"/>
          <w:szCs w:val="22"/>
        </w:rPr>
        <w:t> </w:t>
      </w:r>
    </w:p>
    <w:p w:rsidR="0050108D" w:rsidRPr="005B0CD8" w:rsidRDefault="00B15349" w:rsidP="00F50FBD">
      <w:pPr>
        <w:pStyle w:val="NormalJustified"/>
        <w:spacing w:before="0" w:after="0"/>
        <w:jc w:val="left"/>
        <w:rPr>
          <w:rFonts w:asciiTheme="minorHAnsi" w:hAnsiTheme="minorHAnsi" w:cs="Arial"/>
          <w:i/>
          <w:sz w:val="22"/>
          <w:szCs w:val="20"/>
          <w:u w:val="single"/>
        </w:rPr>
      </w:pPr>
      <w:r w:rsidRPr="005B0CD8">
        <w:rPr>
          <w:rFonts w:asciiTheme="minorHAnsi" w:hAnsiTheme="minorHAnsi" w:cs="Arial"/>
          <w:i/>
          <w:sz w:val="22"/>
          <w:szCs w:val="20"/>
          <w:u w:val="single"/>
        </w:rPr>
        <w:t xml:space="preserve">We already have a very robust and inclusive regulatory process in place when Industrial herbicide use is being considered.  </w:t>
      </w:r>
      <w:r w:rsidR="0050108D" w:rsidRPr="005B0CD8">
        <w:rPr>
          <w:rFonts w:asciiTheme="minorHAnsi" w:hAnsiTheme="minorHAnsi" w:cs="Arial"/>
          <w:i/>
          <w:sz w:val="22"/>
          <w:szCs w:val="20"/>
          <w:u w:val="single"/>
        </w:rPr>
        <w:t xml:space="preserve">Clarifying the </w:t>
      </w:r>
      <w:r w:rsidR="005B0CD8" w:rsidRPr="005B0CD8">
        <w:rPr>
          <w:rFonts w:asciiTheme="minorHAnsi" w:hAnsiTheme="minorHAnsi" w:cs="Arial"/>
          <w:i/>
          <w:sz w:val="22"/>
          <w:szCs w:val="20"/>
          <w:u w:val="single"/>
        </w:rPr>
        <w:t>p</w:t>
      </w:r>
      <w:r w:rsidR="0050108D" w:rsidRPr="005B0CD8">
        <w:rPr>
          <w:rFonts w:asciiTheme="minorHAnsi" w:hAnsiTheme="minorHAnsi" w:cs="Arial"/>
          <w:i/>
          <w:sz w:val="22"/>
          <w:szCs w:val="20"/>
          <w:u w:val="single"/>
        </w:rPr>
        <w:t>ublic</w:t>
      </w:r>
      <w:r w:rsidR="005B0CD8" w:rsidRPr="005B0CD8">
        <w:rPr>
          <w:rFonts w:asciiTheme="minorHAnsi" w:hAnsiTheme="minorHAnsi" w:cs="Arial"/>
          <w:i/>
          <w:sz w:val="22"/>
          <w:szCs w:val="20"/>
          <w:u w:val="single"/>
        </w:rPr>
        <w:t>’</w:t>
      </w:r>
      <w:r w:rsidR="005B0CD8">
        <w:rPr>
          <w:rFonts w:asciiTheme="minorHAnsi" w:hAnsiTheme="minorHAnsi" w:cs="Arial"/>
          <w:i/>
          <w:sz w:val="22"/>
          <w:szCs w:val="20"/>
          <w:u w:val="single"/>
        </w:rPr>
        <w:t>s ability to p</w:t>
      </w:r>
      <w:r w:rsidR="0050108D" w:rsidRPr="005B0CD8">
        <w:rPr>
          <w:rFonts w:asciiTheme="minorHAnsi" w:hAnsiTheme="minorHAnsi" w:cs="Arial"/>
          <w:i/>
          <w:sz w:val="22"/>
          <w:szCs w:val="20"/>
          <w:u w:val="single"/>
        </w:rPr>
        <w:t xml:space="preserve">articipate in the PMP </w:t>
      </w:r>
      <w:r w:rsidR="005B0CD8">
        <w:rPr>
          <w:rFonts w:asciiTheme="minorHAnsi" w:hAnsiTheme="minorHAnsi" w:cs="Arial"/>
          <w:i/>
          <w:sz w:val="22"/>
          <w:szCs w:val="20"/>
          <w:u w:val="single"/>
        </w:rPr>
        <w:t xml:space="preserve">Development </w:t>
      </w:r>
      <w:r w:rsidR="0050108D" w:rsidRPr="005B0CD8">
        <w:rPr>
          <w:rFonts w:asciiTheme="minorHAnsi" w:hAnsiTheme="minorHAnsi" w:cs="Arial"/>
          <w:i/>
          <w:sz w:val="22"/>
          <w:szCs w:val="20"/>
          <w:u w:val="single"/>
        </w:rPr>
        <w:t>Process</w:t>
      </w:r>
      <w:r w:rsidR="005B0CD8" w:rsidRPr="005B0CD8">
        <w:rPr>
          <w:rFonts w:asciiTheme="minorHAnsi" w:hAnsiTheme="minorHAnsi" w:cs="Arial"/>
          <w:i/>
          <w:sz w:val="22"/>
          <w:szCs w:val="20"/>
          <w:u w:val="single"/>
        </w:rPr>
        <w:t xml:space="preserve"> is a major component </w:t>
      </w:r>
      <w:r w:rsidR="005B0CD8">
        <w:rPr>
          <w:rFonts w:asciiTheme="minorHAnsi" w:hAnsiTheme="minorHAnsi" w:cs="Arial"/>
          <w:i/>
          <w:sz w:val="22"/>
          <w:szCs w:val="20"/>
          <w:u w:val="single"/>
        </w:rPr>
        <w:t xml:space="preserve">of these </w:t>
      </w:r>
      <w:r w:rsidR="005B0CD8" w:rsidRPr="005B0CD8">
        <w:rPr>
          <w:rFonts w:asciiTheme="minorHAnsi" w:hAnsiTheme="minorHAnsi" w:cs="Arial"/>
          <w:i/>
          <w:sz w:val="22"/>
          <w:szCs w:val="20"/>
          <w:u w:val="single"/>
        </w:rPr>
        <w:t>alternatives</w:t>
      </w:r>
      <w:r w:rsidR="00F50FBD" w:rsidRPr="005B0CD8">
        <w:rPr>
          <w:rFonts w:asciiTheme="minorHAnsi" w:hAnsiTheme="minorHAnsi" w:cs="Arial"/>
          <w:i/>
          <w:sz w:val="22"/>
          <w:szCs w:val="20"/>
          <w:u w:val="single"/>
        </w:rPr>
        <w:t xml:space="preserve">.  </w:t>
      </w:r>
      <w:r w:rsidR="005B0CD8">
        <w:rPr>
          <w:rFonts w:asciiTheme="minorHAnsi" w:hAnsiTheme="minorHAnsi" w:cs="Arial"/>
          <w:i/>
          <w:sz w:val="22"/>
          <w:szCs w:val="20"/>
          <w:u w:val="single"/>
        </w:rPr>
        <w:t>So h</w:t>
      </w:r>
      <w:r w:rsidR="0050108D" w:rsidRPr="005B0CD8">
        <w:rPr>
          <w:rFonts w:asciiTheme="minorHAnsi" w:hAnsiTheme="minorHAnsi" w:cs="Arial"/>
          <w:i/>
          <w:sz w:val="22"/>
          <w:szCs w:val="20"/>
          <w:u w:val="single"/>
        </w:rPr>
        <w:t>ow</w:t>
      </w:r>
      <w:r w:rsidR="00F50FBD" w:rsidRPr="005B0CD8">
        <w:rPr>
          <w:rFonts w:asciiTheme="minorHAnsi" w:hAnsiTheme="minorHAnsi" w:cs="Arial"/>
          <w:i/>
          <w:sz w:val="22"/>
          <w:szCs w:val="20"/>
          <w:u w:val="single"/>
        </w:rPr>
        <w:t xml:space="preserve"> can</w:t>
      </w:r>
      <w:r w:rsidR="0050108D" w:rsidRPr="005B0CD8">
        <w:rPr>
          <w:rFonts w:asciiTheme="minorHAnsi" w:hAnsiTheme="minorHAnsi" w:cs="Arial"/>
          <w:i/>
          <w:sz w:val="22"/>
          <w:szCs w:val="20"/>
          <w:u w:val="single"/>
        </w:rPr>
        <w:t xml:space="preserve"> FN</w:t>
      </w:r>
      <w:r w:rsidR="00F50FBD" w:rsidRPr="005B0CD8">
        <w:rPr>
          <w:rFonts w:asciiTheme="minorHAnsi" w:hAnsiTheme="minorHAnsi" w:cs="Arial"/>
          <w:i/>
          <w:sz w:val="22"/>
          <w:szCs w:val="20"/>
          <w:u w:val="single"/>
        </w:rPr>
        <w:t xml:space="preserve">s and </w:t>
      </w:r>
      <w:proofErr w:type="gramStart"/>
      <w:r w:rsidR="00F50FBD" w:rsidRPr="005B0CD8">
        <w:rPr>
          <w:rFonts w:asciiTheme="minorHAnsi" w:hAnsiTheme="minorHAnsi" w:cs="Arial"/>
          <w:i/>
          <w:sz w:val="22"/>
          <w:szCs w:val="20"/>
          <w:u w:val="single"/>
        </w:rPr>
        <w:t xml:space="preserve">Public </w:t>
      </w:r>
      <w:r w:rsidR="0050108D" w:rsidRPr="005B0CD8">
        <w:rPr>
          <w:rFonts w:asciiTheme="minorHAnsi" w:hAnsiTheme="minorHAnsi" w:cs="Arial"/>
          <w:i/>
          <w:sz w:val="22"/>
          <w:szCs w:val="20"/>
          <w:u w:val="single"/>
        </w:rPr>
        <w:t xml:space="preserve"> Protect</w:t>
      </w:r>
      <w:proofErr w:type="gramEnd"/>
      <w:r w:rsidR="0050108D" w:rsidRPr="005B0CD8">
        <w:rPr>
          <w:rFonts w:asciiTheme="minorHAnsi" w:hAnsiTheme="minorHAnsi" w:cs="Arial"/>
          <w:i/>
          <w:sz w:val="22"/>
          <w:szCs w:val="20"/>
          <w:u w:val="single"/>
        </w:rPr>
        <w:t xml:space="preserve"> Specific</w:t>
      </w:r>
      <w:r w:rsidR="00F50FBD" w:rsidRPr="005B0CD8">
        <w:rPr>
          <w:rFonts w:asciiTheme="minorHAnsi" w:hAnsiTheme="minorHAnsi" w:cs="Arial"/>
          <w:i/>
          <w:sz w:val="22"/>
          <w:szCs w:val="20"/>
          <w:u w:val="single"/>
        </w:rPr>
        <w:t xml:space="preserve"> sites and</w:t>
      </w:r>
      <w:r w:rsidR="0050108D" w:rsidRPr="005B0CD8">
        <w:rPr>
          <w:rFonts w:asciiTheme="minorHAnsi" w:hAnsiTheme="minorHAnsi" w:cs="Arial"/>
          <w:i/>
          <w:sz w:val="22"/>
          <w:szCs w:val="20"/>
          <w:u w:val="single"/>
        </w:rPr>
        <w:t xml:space="preserve"> Resources</w:t>
      </w:r>
      <w:r w:rsidR="005B0CD8">
        <w:rPr>
          <w:rFonts w:asciiTheme="minorHAnsi" w:hAnsiTheme="minorHAnsi" w:cs="Arial"/>
          <w:i/>
          <w:sz w:val="22"/>
          <w:szCs w:val="20"/>
          <w:u w:val="single"/>
        </w:rPr>
        <w:t>??</w:t>
      </w:r>
    </w:p>
    <w:p w:rsidR="009A6386" w:rsidRPr="00F50FBD" w:rsidRDefault="009A6386" w:rsidP="00F50FBD">
      <w:pPr>
        <w:pStyle w:val="NormalJustified"/>
        <w:spacing w:before="0" w:after="0"/>
        <w:jc w:val="left"/>
        <w:rPr>
          <w:rFonts w:asciiTheme="minorHAnsi" w:hAnsiTheme="minorHAnsi" w:cs="Arial"/>
          <w:b/>
          <w:i/>
          <w:sz w:val="22"/>
          <w:szCs w:val="20"/>
        </w:rPr>
      </w:pPr>
    </w:p>
    <w:p w:rsidR="0050108D" w:rsidRPr="00F50FBD" w:rsidRDefault="0050108D" w:rsidP="00F50FBD">
      <w:pPr>
        <w:pStyle w:val="NormalJustified"/>
        <w:numPr>
          <w:ilvl w:val="0"/>
          <w:numId w:val="4"/>
        </w:numPr>
        <w:spacing w:before="0" w:after="0"/>
        <w:jc w:val="left"/>
        <w:rPr>
          <w:rFonts w:asciiTheme="minorHAnsi" w:hAnsiTheme="minorHAnsi" w:cs="Arial"/>
          <w:sz w:val="22"/>
          <w:szCs w:val="20"/>
        </w:rPr>
      </w:pPr>
      <w:r w:rsidRPr="00F50FBD">
        <w:rPr>
          <w:rFonts w:asciiTheme="minorHAnsi" w:hAnsiTheme="minorHAnsi" w:cs="Arial"/>
          <w:sz w:val="22"/>
          <w:szCs w:val="20"/>
        </w:rPr>
        <w:t>Members of the public and FN have the opportunity to provide concern and/or objection to treatment about specific resources they would like to protect during two phases in any commercial, governmental or industrial operation that uses pesticides under a PMP</w:t>
      </w:r>
      <w:r w:rsidR="008E4542">
        <w:rPr>
          <w:rFonts w:asciiTheme="minorHAnsi" w:hAnsiTheme="minorHAnsi" w:cs="Arial"/>
          <w:sz w:val="22"/>
          <w:szCs w:val="20"/>
        </w:rPr>
        <w:t xml:space="preserve"> (</w:t>
      </w:r>
      <w:r w:rsidR="00721E4C">
        <w:rPr>
          <w:rFonts w:asciiTheme="minorHAnsi" w:hAnsiTheme="minorHAnsi" w:cs="Arial"/>
          <w:sz w:val="22"/>
          <w:szCs w:val="20"/>
        </w:rPr>
        <w:t>legislated</w:t>
      </w:r>
      <w:r w:rsidR="008E4542">
        <w:rPr>
          <w:rFonts w:asciiTheme="minorHAnsi" w:hAnsiTheme="minorHAnsi" w:cs="Arial"/>
          <w:sz w:val="22"/>
          <w:szCs w:val="20"/>
        </w:rPr>
        <w:t xml:space="preserve"> by the Integrated Pest Management Act)</w:t>
      </w:r>
      <w:r w:rsidRPr="00F50FBD">
        <w:rPr>
          <w:rFonts w:asciiTheme="minorHAnsi" w:hAnsiTheme="minorHAnsi" w:cs="Arial"/>
          <w:sz w:val="22"/>
          <w:szCs w:val="20"/>
        </w:rPr>
        <w:t>.  They also have the right to conta</w:t>
      </w:r>
      <w:r w:rsidR="009A6386">
        <w:rPr>
          <w:rFonts w:asciiTheme="minorHAnsi" w:hAnsiTheme="minorHAnsi" w:cs="Arial"/>
          <w:sz w:val="22"/>
          <w:szCs w:val="20"/>
        </w:rPr>
        <w:t>ct the Ministry of Environment and Climate Change (</w:t>
      </w:r>
      <w:proofErr w:type="spellStart"/>
      <w:r w:rsidR="009A6386">
        <w:rPr>
          <w:rFonts w:asciiTheme="minorHAnsi" w:hAnsiTheme="minorHAnsi" w:cs="Arial"/>
          <w:sz w:val="22"/>
          <w:szCs w:val="20"/>
        </w:rPr>
        <w:t>MoECC</w:t>
      </w:r>
      <w:proofErr w:type="spellEnd"/>
      <w:r w:rsidR="009A6386">
        <w:rPr>
          <w:rFonts w:asciiTheme="minorHAnsi" w:hAnsiTheme="minorHAnsi" w:cs="Arial"/>
          <w:sz w:val="22"/>
          <w:szCs w:val="20"/>
        </w:rPr>
        <w:t>)</w:t>
      </w:r>
      <w:r w:rsidRPr="00F50FBD">
        <w:rPr>
          <w:rFonts w:asciiTheme="minorHAnsi" w:hAnsiTheme="minorHAnsi" w:cs="Arial"/>
          <w:sz w:val="22"/>
          <w:szCs w:val="20"/>
        </w:rPr>
        <w:t xml:space="preserve"> at any time to report a concern.  It is most effec</w:t>
      </w:r>
      <w:r w:rsidR="008656BF">
        <w:rPr>
          <w:rFonts w:asciiTheme="minorHAnsi" w:hAnsiTheme="minorHAnsi" w:cs="Arial"/>
          <w:sz w:val="22"/>
          <w:szCs w:val="20"/>
        </w:rPr>
        <w:t>tive to report their concerns during</w:t>
      </w:r>
      <w:r w:rsidRPr="00F50FBD">
        <w:rPr>
          <w:rFonts w:asciiTheme="minorHAnsi" w:hAnsiTheme="minorHAnsi" w:cs="Arial"/>
          <w:sz w:val="22"/>
          <w:szCs w:val="20"/>
        </w:rPr>
        <w:t xml:space="preserve"> the following stages.</w:t>
      </w:r>
    </w:p>
    <w:p w:rsidR="0050108D" w:rsidRPr="00F50FBD" w:rsidRDefault="0050108D" w:rsidP="006376FF">
      <w:pPr>
        <w:pStyle w:val="NormalJustified"/>
        <w:numPr>
          <w:ilvl w:val="1"/>
          <w:numId w:val="7"/>
        </w:numPr>
        <w:spacing w:before="0" w:after="0"/>
        <w:jc w:val="left"/>
        <w:rPr>
          <w:rFonts w:asciiTheme="minorHAnsi" w:hAnsiTheme="minorHAnsi" w:cs="Arial"/>
          <w:sz w:val="22"/>
          <w:szCs w:val="20"/>
        </w:rPr>
      </w:pPr>
      <w:r w:rsidRPr="00F50FBD">
        <w:rPr>
          <w:rFonts w:asciiTheme="minorHAnsi" w:hAnsiTheme="minorHAnsi" w:cs="Arial"/>
          <w:sz w:val="22"/>
          <w:szCs w:val="20"/>
        </w:rPr>
        <w:t xml:space="preserve">PMP Development – A PMP has a life span of 5 years and during </w:t>
      </w:r>
      <w:proofErr w:type="gramStart"/>
      <w:r w:rsidRPr="00F50FBD">
        <w:rPr>
          <w:rFonts w:asciiTheme="minorHAnsi" w:hAnsiTheme="minorHAnsi" w:cs="Arial"/>
          <w:sz w:val="22"/>
          <w:szCs w:val="20"/>
        </w:rPr>
        <w:t xml:space="preserve">the </w:t>
      </w:r>
      <w:r w:rsidR="006376FF">
        <w:rPr>
          <w:rFonts w:asciiTheme="minorHAnsi" w:hAnsiTheme="minorHAnsi" w:cs="Arial"/>
          <w:sz w:val="22"/>
          <w:szCs w:val="20"/>
        </w:rPr>
        <w:t xml:space="preserve"> d</w:t>
      </w:r>
      <w:r w:rsidRPr="00F50FBD">
        <w:rPr>
          <w:rFonts w:asciiTheme="minorHAnsi" w:hAnsiTheme="minorHAnsi" w:cs="Arial"/>
          <w:sz w:val="22"/>
          <w:szCs w:val="20"/>
        </w:rPr>
        <w:t>evelopment</w:t>
      </w:r>
      <w:proofErr w:type="gramEnd"/>
      <w:r w:rsidRPr="00F50FBD">
        <w:rPr>
          <w:rFonts w:asciiTheme="minorHAnsi" w:hAnsiTheme="minorHAnsi" w:cs="Arial"/>
          <w:sz w:val="22"/>
          <w:szCs w:val="20"/>
        </w:rPr>
        <w:t xml:space="preserve"> of any PMP the owner of the PMP has the legislated obligation to consult with FN and the public.  During this 45 day phase anyone has the opportunity to bring forward specific values that they would like to protect.  Some specific examples may be a berry patch or a specific animal habitat such as a den.  The PMP owner must consult to a point where both parties are satisfied.  If this point can’t be achieved then the Ministry of Environment becomes involved to resolve the issue. It is worth noting that concerns must be specific and cannot be blanket concerns such as “stop all spraying because it’s bad.” </w:t>
      </w:r>
    </w:p>
    <w:p w:rsidR="0050108D" w:rsidRPr="00F50FBD" w:rsidRDefault="0050108D" w:rsidP="006376FF">
      <w:pPr>
        <w:pStyle w:val="NormalJustified"/>
        <w:numPr>
          <w:ilvl w:val="1"/>
          <w:numId w:val="7"/>
        </w:numPr>
        <w:spacing w:before="0" w:after="0"/>
        <w:jc w:val="left"/>
        <w:rPr>
          <w:rFonts w:asciiTheme="minorHAnsi" w:hAnsiTheme="minorHAnsi" w:cs="Arial"/>
          <w:sz w:val="22"/>
          <w:szCs w:val="20"/>
        </w:rPr>
      </w:pPr>
      <w:r w:rsidRPr="00F50FBD">
        <w:rPr>
          <w:rFonts w:asciiTheme="minorHAnsi" w:hAnsiTheme="minorHAnsi" w:cs="Arial"/>
          <w:sz w:val="22"/>
          <w:szCs w:val="20"/>
        </w:rPr>
        <w:t>Notice of Intent to Treat is a legislated requirement where the PMP owner must provide the government with notice 21 days prior to spraying each year during the life of the specific PMP.  It may also be required if requested during the PMP development consultation phase that FN or the public is also notified 21 days prior to treatment. Again, the PMP owner is required to consult with the individuals with specific concerns to a point of satisfaction.  Again also, if this point can’t be achieved then the Ministry of Environment becomes involved to resolve the issue.</w:t>
      </w:r>
    </w:p>
    <w:p w:rsidR="00D723B2" w:rsidRPr="00324D9E" w:rsidRDefault="00D723B2">
      <w:pPr>
        <w:rPr>
          <w:rFonts w:cs="Arial"/>
        </w:rPr>
      </w:pPr>
    </w:p>
    <w:p w:rsidR="00A37A86" w:rsidRPr="00324D9E" w:rsidRDefault="00A37A86">
      <w:pPr>
        <w:rPr>
          <w:rFonts w:cs="Arial"/>
        </w:rPr>
      </w:pPr>
    </w:p>
    <w:p w:rsidR="00A37A86" w:rsidRPr="00324D9E" w:rsidRDefault="00A37A86">
      <w:pPr>
        <w:rPr>
          <w:rFonts w:cs="Arial"/>
        </w:rPr>
      </w:pPr>
    </w:p>
    <w:sectPr w:rsidR="00A37A86" w:rsidRPr="00324D9E" w:rsidSect="00D723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DEE"/>
    <w:multiLevelType w:val="hybridMultilevel"/>
    <w:tmpl w:val="8B5E30F0"/>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2760DCF"/>
    <w:multiLevelType w:val="hybridMultilevel"/>
    <w:tmpl w:val="C062F49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795391"/>
    <w:multiLevelType w:val="hybridMultilevel"/>
    <w:tmpl w:val="4DDAF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844CF0"/>
    <w:multiLevelType w:val="hybridMultilevel"/>
    <w:tmpl w:val="1C62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B22366">
      <w:start w:val="1"/>
      <w:numFmt w:val="bullet"/>
      <w:lvlText w:val="-"/>
      <w:lvlJc w:val="left"/>
      <w:pPr>
        <w:ind w:left="2160" w:hanging="180"/>
      </w:pPr>
      <w:rPr>
        <w:rFonts w:ascii="Calibri" w:eastAsiaTheme="minorEastAsia" w:hAnsi="Calibri" w:cs="Calibri"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50BB5"/>
    <w:multiLevelType w:val="hybridMultilevel"/>
    <w:tmpl w:val="97E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A14E3"/>
    <w:multiLevelType w:val="hybridMultilevel"/>
    <w:tmpl w:val="EEE09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065079"/>
    <w:multiLevelType w:val="hybridMultilevel"/>
    <w:tmpl w:val="3BB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08D"/>
    <w:rsid w:val="0008065D"/>
    <w:rsid w:val="00124759"/>
    <w:rsid w:val="00132791"/>
    <w:rsid w:val="00152602"/>
    <w:rsid w:val="001C0EF7"/>
    <w:rsid w:val="0026086C"/>
    <w:rsid w:val="00261A7F"/>
    <w:rsid w:val="0030787B"/>
    <w:rsid w:val="00324D9E"/>
    <w:rsid w:val="00380153"/>
    <w:rsid w:val="0040220B"/>
    <w:rsid w:val="0050108D"/>
    <w:rsid w:val="00572AFF"/>
    <w:rsid w:val="005920B9"/>
    <w:rsid w:val="005B0CD8"/>
    <w:rsid w:val="005E2F04"/>
    <w:rsid w:val="006376FF"/>
    <w:rsid w:val="00721E4C"/>
    <w:rsid w:val="008656BF"/>
    <w:rsid w:val="008D3FC1"/>
    <w:rsid w:val="008E4542"/>
    <w:rsid w:val="009A6386"/>
    <w:rsid w:val="00A2352C"/>
    <w:rsid w:val="00A37A86"/>
    <w:rsid w:val="00A54EA8"/>
    <w:rsid w:val="00A82442"/>
    <w:rsid w:val="00AD1978"/>
    <w:rsid w:val="00B15349"/>
    <w:rsid w:val="00BE0C5A"/>
    <w:rsid w:val="00BE62EA"/>
    <w:rsid w:val="00C059D3"/>
    <w:rsid w:val="00CF1C9C"/>
    <w:rsid w:val="00D221E5"/>
    <w:rsid w:val="00D244BF"/>
    <w:rsid w:val="00D723B2"/>
    <w:rsid w:val="00DD5698"/>
    <w:rsid w:val="00E43E26"/>
    <w:rsid w:val="00EB3D53"/>
    <w:rsid w:val="00F102C1"/>
    <w:rsid w:val="00F2358E"/>
    <w:rsid w:val="00F5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26587284794640225msonormalindent">
    <w:name w:val="m_1926587284794640225msonormalindent"/>
    <w:basedOn w:val="Normal"/>
    <w:rsid w:val="005010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uiPriority w:val="1"/>
    <w:unhideWhenUsed/>
    <w:qFormat/>
    <w:rsid w:val="00EB3D53"/>
    <w:pPr>
      <w:spacing w:before="120" w:after="120"/>
      <w:ind w:left="360"/>
    </w:pPr>
    <w:rPr>
      <w:rFonts w:eastAsiaTheme="minorEastAsia"/>
      <w:spacing w:val="4"/>
      <w:szCs w:val="20"/>
      <w:lang w:val="en-US" w:eastAsia="ja-JP"/>
    </w:rPr>
  </w:style>
  <w:style w:type="paragraph" w:customStyle="1" w:styleId="NormalJustified">
    <w:name w:val="NormalJustified"/>
    <w:basedOn w:val="Normal"/>
    <w:qFormat/>
    <w:rsid w:val="00A37A86"/>
    <w:pPr>
      <w:spacing w:before="120" w:after="120" w:line="240" w:lineRule="auto"/>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7A86"/>
    <w:pPr>
      <w:spacing w:after="160" w:line="259" w:lineRule="auto"/>
      <w:ind w:left="720"/>
      <w:contextualSpacing/>
    </w:pPr>
    <w:rPr>
      <w:rFonts w:ascii="Calibri" w:eastAsia="Calibri" w:hAnsi="Calibri" w:cs="Times New Roman"/>
      <w:lang w:val="en-US"/>
    </w:rPr>
  </w:style>
  <w:style w:type="table" w:customStyle="1" w:styleId="GridTable4Accent1">
    <w:name w:val="Grid Table 4 Accent 1"/>
    <w:basedOn w:val="TableNormal"/>
    <w:uiPriority w:val="49"/>
    <w:rsid w:val="00A37A86"/>
    <w:pPr>
      <w:spacing w:after="0" w:line="240" w:lineRule="auto"/>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969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pmohammed</dc:creator>
  <cp:keywords/>
  <dc:description/>
  <cp:lastModifiedBy>pmohammed</cp:lastModifiedBy>
  <cp:revision>17</cp:revision>
  <dcterms:created xsi:type="dcterms:W3CDTF">2019-04-20T00:14:00Z</dcterms:created>
  <dcterms:modified xsi:type="dcterms:W3CDTF">2019-04-21T20:45:00Z</dcterms:modified>
</cp:coreProperties>
</file>